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F3" w:rsidRDefault="00AA4FF3" w:rsidP="008861E3">
      <w:pPr>
        <w:pStyle w:val="Heading1"/>
        <w:spacing w:after="0"/>
        <w:jc w:val="center"/>
        <w:rPr>
          <w:rFonts w:cs="Arial"/>
          <w:color w:val="17365D"/>
          <w:sz w:val="28"/>
          <w:szCs w:val="28"/>
        </w:rPr>
      </w:pPr>
      <w:r>
        <w:rPr>
          <w:rFonts w:cs="Arial"/>
          <w:color w:val="17365D"/>
          <w:sz w:val="28"/>
          <w:szCs w:val="28"/>
        </w:rPr>
        <w:t>PhD Programs FMNHS</w:t>
      </w:r>
    </w:p>
    <w:p w:rsidR="00AA4FF3" w:rsidRDefault="00AA4FF3" w:rsidP="00AA4FF3"/>
    <w:p w:rsidR="00AA4FF3" w:rsidRPr="00AA4FF3" w:rsidRDefault="00AA4FF3" w:rsidP="00AA4FF3">
      <w:pPr>
        <w:rPr>
          <w:rFonts w:ascii="Arial" w:hAnsi="Arial" w:cs="Arial"/>
          <w:sz w:val="24"/>
          <w:szCs w:val="24"/>
        </w:rPr>
      </w:pPr>
      <w:r w:rsidRPr="00AA4FF3">
        <w:rPr>
          <w:rFonts w:ascii="Arial" w:hAnsi="Arial" w:cs="Arial"/>
          <w:sz w:val="24"/>
          <w:szCs w:val="24"/>
        </w:rPr>
        <w:t>From the 1</w:t>
      </w:r>
      <w:r w:rsidRPr="00AA4FF3">
        <w:rPr>
          <w:rFonts w:ascii="Arial" w:hAnsi="Arial" w:cs="Arial"/>
          <w:sz w:val="24"/>
          <w:szCs w:val="24"/>
          <w:vertAlign w:val="superscript"/>
        </w:rPr>
        <w:t>st</w:t>
      </w:r>
      <w:r w:rsidRPr="00AA4FF3">
        <w:rPr>
          <w:rFonts w:ascii="Arial" w:hAnsi="Arial" w:cs="Arial"/>
          <w:sz w:val="24"/>
          <w:szCs w:val="24"/>
        </w:rPr>
        <w:t xml:space="preserve"> of January 2015 PhD training will become a compulsory part of the doctoral program in the Faculty of Medicine Nursing and Health Sciences. </w:t>
      </w:r>
    </w:p>
    <w:p w:rsidR="00AA4FF3" w:rsidRPr="00B974B1" w:rsidRDefault="00AA4FF3" w:rsidP="00AA4FF3">
      <w:pPr>
        <w:rPr>
          <w:rFonts w:ascii="Arial" w:hAnsi="Arial" w:cs="Arial"/>
          <w:b/>
          <w:sz w:val="24"/>
          <w:szCs w:val="24"/>
        </w:rPr>
      </w:pPr>
      <w:r w:rsidRPr="00B974B1">
        <w:rPr>
          <w:rFonts w:ascii="Arial" w:hAnsi="Arial" w:cs="Arial"/>
          <w:b/>
          <w:sz w:val="24"/>
          <w:szCs w:val="24"/>
        </w:rPr>
        <w:t xml:space="preserve">In the FMNHS there are 7 PhD programs. </w:t>
      </w:r>
    </w:p>
    <w:p w:rsidR="00B974B1" w:rsidRDefault="00B974B1" w:rsidP="00AA4FF3">
      <w:pPr>
        <w:rPr>
          <w:rFonts w:ascii="Arial" w:hAnsi="Arial" w:cs="Arial"/>
          <w:sz w:val="24"/>
          <w:szCs w:val="24"/>
        </w:rPr>
      </w:pPr>
      <w:r>
        <w:rPr>
          <w:rFonts w:ascii="Arial" w:hAnsi="Arial" w:cs="Arial"/>
          <w:sz w:val="24"/>
          <w:szCs w:val="24"/>
        </w:rPr>
        <w:t>2 Coursework P</w:t>
      </w:r>
      <w:r w:rsidR="00AA4FF3" w:rsidRPr="00AA4FF3">
        <w:rPr>
          <w:rFonts w:ascii="Arial" w:hAnsi="Arial" w:cs="Arial"/>
          <w:sz w:val="24"/>
          <w:szCs w:val="24"/>
        </w:rPr>
        <w:t xml:space="preserve">rograms: Public Health and Preventive Medicine and Translational Research </w:t>
      </w:r>
    </w:p>
    <w:p w:rsidR="00B974B1" w:rsidRDefault="00AA4FF3" w:rsidP="00AA4FF3">
      <w:pPr>
        <w:rPr>
          <w:rFonts w:ascii="Arial" w:hAnsi="Arial" w:cs="Arial"/>
          <w:sz w:val="24"/>
          <w:szCs w:val="24"/>
        </w:rPr>
      </w:pPr>
      <w:r w:rsidRPr="00AA4FF3">
        <w:rPr>
          <w:rFonts w:ascii="Arial" w:hAnsi="Arial" w:cs="Arial"/>
          <w:sz w:val="24"/>
          <w:szCs w:val="24"/>
        </w:rPr>
        <w:t xml:space="preserve">5 </w:t>
      </w:r>
      <w:r>
        <w:rPr>
          <w:rFonts w:ascii="Arial" w:hAnsi="Arial" w:cs="Arial"/>
          <w:sz w:val="24"/>
          <w:szCs w:val="24"/>
        </w:rPr>
        <w:t>G</w:t>
      </w:r>
      <w:r w:rsidRPr="00AA4FF3">
        <w:rPr>
          <w:rFonts w:ascii="Arial" w:hAnsi="Arial" w:cs="Arial"/>
          <w:sz w:val="24"/>
          <w:szCs w:val="24"/>
        </w:rPr>
        <w:t>r</w:t>
      </w:r>
      <w:r>
        <w:rPr>
          <w:rFonts w:ascii="Arial" w:hAnsi="Arial" w:cs="Arial"/>
          <w:sz w:val="24"/>
          <w:szCs w:val="24"/>
        </w:rPr>
        <w:t>aduate Research P</w:t>
      </w:r>
      <w:r w:rsidRPr="00AA4FF3">
        <w:rPr>
          <w:rFonts w:ascii="Arial" w:hAnsi="Arial" w:cs="Arial"/>
          <w:sz w:val="24"/>
          <w:szCs w:val="24"/>
        </w:rPr>
        <w:t xml:space="preserve">rofessional </w:t>
      </w:r>
      <w:r>
        <w:rPr>
          <w:rFonts w:ascii="Arial" w:hAnsi="Arial" w:cs="Arial"/>
          <w:sz w:val="24"/>
          <w:szCs w:val="24"/>
        </w:rPr>
        <w:t>D</w:t>
      </w:r>
      <w:r w:rsidRPr="00AA4FF3">
        <w:rPr>
          <w:rFonts w:ascii="Arial" w:hAnsi="Arial" w:cs="Arial"/>
          <w:sz w:val="24"/>
          <w:szCs w:val="24"/>
        </w:rPr>
        <w:t>evelopment</w:t>
      </w:r>
      <w:r w:rsidR="00B974B1">
        <w:rPr>
          <w:rFonts w:ascii="Arial" w:hAnsi="Arial" w:cs="Arial"/>
          <w:sz w:val="24"/>
          <w:szCs w:val="24"/>
        </w:rPr>
        <w:t xml:space="preserve"> P</w:t>
      </w:r>
      <w:r w:rsidR="00C2392C">
        <w:rPr>
          <w:rFonts w:ascii="Arial" w:hAnsi="Arial" w:cs="Arial"/>
          <w:sz w:val="24"/>
          <w:szCs w:val="24"/>
        </w:rPr>
        <w:t>rograms: Biomedical Science;</w:t>
      </w:r>
      <w:r>
        <w:rPr>
          <w:rFonts w:ascii="Arial" w:hAnsi="Arial" w:cs="Arial"/>
          <w:sz w:val="24"/>
          <w:szCs w:val="24"/>
        </w:rPr>
        <w:t xml:space="preserve"> </w:t>
      </w:r>
      <w:r w:rsidR="00C2392C">
        <w:rPr>
          <w:rFonts w:ascii="Arial" w:hAnsi="Arial" w:cs="Arial"/>
          <w:sz w:val="24"/>
          <w:szCs w:val="24"/>
        </w:rPr>
        <w:t>Nursing and Midwifery; Education Teaching and Learning;</w:t>
      </w:r>
      <w:r>
        <w:rPr>
          <w:rFonts w:ascii="Arial" w:hAnsi="Arial" w:cs="Arial"/>
          <w:sz w:val="24"/>
          <w:szCs w:val="24"/>
        </w:rPr>
        <w:t xml:space="preserve"> Primary Health Care</w:t>
      </w:r>
      <w:r w:rsidR="00C2392C">
        <w:rPr>
          <w:rFonts w:ascii="Arial" w:hAnsi="Arial" w:cs="Arial"/>
          <w:sz w:val="24"/>
          <w:szCs w:val="24"/>
        </w:rPr>
        <w:t>; and Psychological Sciences</w:t>
      </w:r>
      <w:r>
        <w:rPr>
          <w:rFonts w:ascii="Arial" w:hAnsi="Arial" w:cs="Arial"/>
          <w:sz w:val="24"/>
          <w:szCs w:val="24"/>
        </w:rPr>
        <w:t xml:space="preserve">. </w:t>
      </w:r>
    </w:p>
    <w:p w:rsidR="00B974B1" w:rsidRDefault="00B974B1" w:rsidP="00AA4FF3">
      <w:pPr>
        <w:rPr>
          <w:rFonts w:ascii="Arial" w:hAnsi="Arial" w:cs="Arial"/>
          <w:sz w:val="24"/>
          <w:szCs w:val="24"/>
        </w:rPr>
      </w:pPr>
    </w:p>
    <w:p w:rsidR="00AA4FF3" w:rsidRPr="00AA4FF3" w:rsidRDefault="00AA4FF3" w:rsidP="00AA4FF3">
      <w:pPr>
        <w:rPr>
          <w:rFonts w:ascii="Arial" w:hAnsi="Arial" w:cs="Arial"/>
          <w:sz w:val="24"/>
          <w:szCs w:val="24"/>
        </w:rPr>
        <w:sectPr w:rsidR="00AA4FF3" w:rsidRPr="00AA4FF3">
          <w:headerReference w:type="default" r:id="rId8"/>
          <w:footerReference w:type="default" r:id="rId9"/>
          <w:pgSz w:w="11900" w:h="16840"/>
          <w:pgMar w:top="1440" w:right="1440" w:bottom="1440" w:left="1440" w:header="709" w:footer="709" w:gutter="0"/>
          <w:cols w:space="708"/>
          <w:docGrid w:linePitch="360"/>
        </w:sectPr>
      </w:pPr>
      <w:bookmarkStart w:id="0" w:name="_GoBack"/>
      <w:bookmarkEnd w:id="0"/>
      <w:r>
        <w:rPr>
          <w:rFonts w:ascii="Arial" w:hAnsi="Arial" w:cs="Arial"/>
          <w:sz w:val="24"/>
          <w:szCs w:val="24"/>
        </w:rPr>
        <w:t xml:space="preserve">The Faculty PhD programs are outlined </w:t>
      </w:r>
      <w:r w:rsidR="00C2392C">
        <w:rPr>
          <w:rFonts w:ascii="Arial" w:hAnsi="Arial" w:cs="Arial"/>
          <w:sz w:val="24"/>
          <w:szCs w:val="24"/>
        </w:rPr>
        <w:t xml:space="preserve">in the following pages. </w:t>
      </w:r>
    </w:p>
    <w:p w:rsidR="00194A53" w:rsidRDefault="00E95FB4" w:rsidP="008A5D3D">
      <w:pPr>
        <w:pStyle w:val="Heading1"/>
        <w:spacing w:after="0"/>
        <w:jc w:val="center"/>
        <w:rPr>
          <w:rFonts w:cs="Arial"/>
          <w:b w:val="0"/>
          <w:color w:val="17365D"/>
          <w:sz w:val="24"/>
          <w:szCs w:val="24"/>
        </w:rPr>
      </w:pPr>
      <w:r w:rsidRPr="00C87ADB">
        <w:rPr>
          <w:rFonts w:cs="Arial"/>
          <w:color w:val="17365D"/>
          <w:sz w:val="28"/>
          <w:szCs w:val="28"/>
        </w:rPr>
        <w:t>PhD</w:t>
      </w:r>
      <w:r w:rsidR="00532B0A" w:rsidRPr="00C87ADB">
        <w:rPr>
          <w:rFonts w:cs="Arial"/>
          <w:color w:val="17365D"/>
          <w:sz w:val="28"/>
          <w:szCs w:val="28"/>
        </w:rPr>
        <w:t xml:space="preserve"> PROGRAM </w:t>
      </w:r>
    </w:p>
    <w:p w:rsidR="00C508D2" w:rsidRDefault="00C508D2" w:rsidP="00194A53">
      <w:pPr>
        <w:spacing w:after="0"/>
        <w:jc w:val="center"/>
        <w:rPr>
          <w:rFonts w:ascii="Arial" w:hAnsi="Arial" w:cs="Arial"/>
          <w:b/>
          <w:sz w:val="24"/>
          <w:szCs w:val="24"/>
        </w:rPr>
      </w:pPr>
    </w:p>
    <w:p w:rsidR="00194A53" w:rsidRDefault="00194A53" w:rsidP="00194A53">
      <w:pPr>
        <w:spacing w:after="0"/>
        <w:jc w:val="center"/>
        <w:rPr>
          <w:rFonts w:ascii="Arial" w:hAnsi="Arial" w:cs="Arial"/>
          <w:b/>
          <w:sz w:val="24"/>
          <w:szCs w:val="24"/>
        </w:rPr>
      </w:pPr>
      <w:r>
        <w:rPr>
          <w:rFonts w:ascii="Arial" w:hAnsi="Arial" w:cs="Arial"/>
          <w:b/>
          <w:sz w:val="24"/>
          <w:szCs w:val="24"/>
        </w:rPr>
        <w:t>Biomedical Science</w:t>
      </w:r>
      <w:r w:rsidR="0099052B">
        <w:rPr>
          <w:rFonts w:ascii="Arial" w:hAnsi="Arial" w:cs="Arial"/>
          <w:b/>
          <w:sz w:val="24"/>
          <w:szCs w:val="24"/>
        </w:rPr>
        <w:t>s</w:t>
      </w:r>
      <w:r>
        <w:rPr>
          <w:rFonts w:ascii="Arial" w:hAnsi="Arial" w:cs="Arial"/>
          <w:b/>
          <w:sz w:val="24"/>
          <w:szCs w:val="24"/>
        </w:rPr>
        <w:t xml:space="preserve"> </w:t>
      </w:r>
    </w:p>
    <w:p w:rsidR="00D4017B" w:rsidRPr="003D0A0D" w:rsidRDefault="00D4017B" w:rsidP="00D4017B">
      <w:pPr>
        <w:spacing w:after="0"/>
        <w:jc w:val="center"/>
        <w:rPr>
          <w:rFonts w:ascii="Arial" w:hAnsi="Arial" w:cs="Arial"/>
          <w:b/>
          <w:sz w:val="24"/>
          <w:szCs w:val="24"/>
        </w:rPr>
      </w:pPr>
      <w:r>
        <w:rPr>
          <w:rFonts w:ascii="Arial" w:hAnsi="Arial" w:cs="Arial"/>
          <w:b/>
          <w:sz w:val="24"/>
          <w:szCs w:val="24"/>
        </w:rPr>
        <w:t>Program Director: A/Prof Martin Stone</w:t>
      </w:r>
    </w:p>
    <w:p w:rsidR="00194A53" w:rsidRPr="003D0A0D" w:rsidRDefault="00194A53" w:rsidP="00194A53">
      <w:pPr>
        <w:spacing w:after="0"/>
        <w:rPr>
          <w:rFonts w:ascii="Arial" w:hAnsi="Arial" w:cs="Arial"/>
          <w:sz w:val="24"/>
          <w:szCs w:val="24"/>
        </w:rPr>
      </w:pPr>
    </w:p>
    <w:p w:rsidR="00194A53" w:rsidRDefault="00194A53" w:rsidP="00194A53">
      <w:pPr>
        <w:spacing w:after="0"/>
        <w:jc w:val="both"/>
        <w:rPr>
          <w:rFonts w:ascii="Arial" w:hAnsi="Arial" w:cs="Arial"/>
          <w:sz w:val="24"/>
          <w:szCs w:val="24"/>
        </w:rPr>
      </w:pPr>
      <w:r w:rsidRPr="003D0A0D">
        <w:rPr>
          <w:rFonts w:ascii="Arial" w:hAnsi="Arial" w:cs="Arial"/>
          <w:sz w:val="24"/>
          <w:szCs w:val="24"/>
        </w:rPr>
        <w:t xml:space="preserve">Within the Faculty of Medicine, Nursing and Health Sciences students who undertake a doctorate by research in </w:t>
      </w:r>
      <w:r>
        <w:rPr>
          <w:rFonts w:ascii="Arial" w:hAnsi="Arial" w:cs="Arial"/>
          <w:sz w:val="24"/>
          <w:szCs w:val="24"/>
        </w:rPr>
        <w:t>Biomedical Science typically have completed honours or a masters in a Biomedical Science discipline and are undertaking the doctorate as a pathway to a career in research, academia or industry</w:t>
      </w:r>
      <w:r w:rsidRPr="003D0A0D">
        <w:rPr>
          <w:rFonts w:ascii="Arial" w:hAnsi="Arial" w:cs="Arial"/>
          <w:sz w:val="24"/>
          <w:szCs w:val="24"/>
        </w:rPr>
        <w:t xml:space="preserve">. It is proposed that training for students who undertake HDR research in this discipline area is composed of opportunities to </w:t>
      </w:r>
      <w:r w:rsidR="00D65885" w:rsidRPr="003D0A0D">
        <w:rPr>
          <w:rFonts w:ascii="Arial" w:hAnsi="Arial" w:cs="Arial"/>
          <w:sz w:val="24"/>
          <w:szCs w:val="24"/>
        </w:rPr>
        <w:t>gain</w:t>
      </w:r>
      <w:r w:rsidRPr="003D0A0D">
        <w:rPr>
          <w:rFonts w:ascii="Arial" w:hAnsi="Arial" w:cs="Arial"/>
          <w:sz w:val="24"/>
          <w:szCs w:val="24"/>
        </w:rPr>
        <w:t xml:space="preserve"> </w:t>
      </w:r>
      <w:r>
        <w:rPr>
          <w:rFonts w:ascii="Arial" w:hAnsi="Arial" w:cs="Arial"/>
          <w:sz w:val="24"/>
          <w:szCs w:val="24"/>
        </w:rPr>
        <w:t xml:space="preserve">fundamental research </w:t>
      </w:r>
      <w:r w:rsidRPr="003D0A0D">
        <w:rPr>
          <w:rFonts w:ascii="Arial" w:hAnsi="Arial" w:cs="Arial"/>
          <w:sz w:val="24"/>
          <w:szCs w:val="24"/>
        </w:rPr>
        <w:t>skills</w:t>
      </w:r>
      <w:r w:rsidR="000D40B6">
        <w:rPr>
          <w:rFonts w:ascii="Arial" w:hAnsi="Arial" w:cs="Arial"/>
          <w:sz w:val="24"/>
          <w:szCs w:val="24"/>
        </w:rPr>
        <w:t xml:space="preserve">, </w:t>
      </w:r>
      <w:r w:rsidR="00D65885">
        <w:rPr>
          <w:rFonts w:ascii="Arial" w:hAnsi="Arial" w:cs="Arial"/>
          <w:sz w:val="24"/>
          <w:szCs w:val="24"/>
        </w:rPr>
        <w:t xml:space="preserve">as well as </w:t>
      </w:r>
      <w:r w:rsidR="000D40B6">
        <w:rPr>
          <w:rFonts w:ascii="Arial" w:hAnsi="Arial" w:cs="Arial"/>
          <w:sz w:val="24"/>
          <w:szCs w:val="24"/>
        </w:rPr>
        <w:t>be exposed to state of the art research technologies and th</w:t>
      </w:r>
      <w:r w:rsidR="00D65885">
        <w:rPr>
          <w:rFonts w:ascii="Arial" w:hAnsi="Arial" w:cs="Arial"/>
          <w:sz w:val="24"/>
          <w:szCs w:val="24"/>
        </w:rPr>
        <w:t xml:space="preserve">e latest cutting edge research. Creating unique </w:t>
      </w:r>
      <w:r>
        <w:rPr>
          <w:rFonts w:ascii="Arial" w:hAnsi="Arial" w:cs="Arial"/>
          <w:sz w:val="24"/>
          <w:szCs w:val="24"/>
        </w:rPr>
        <w:t xml:space="preserve">opportunities to </w:t>
      </w:r>
      <w:r w:rsidR="000D40B6">
        <w:rPr>
          <w:rFonts w:ascii="Arial" w:hAnsi="Arial" w:cs="Arial"/>
          <w:sz w:val="24"/>
          <w:szCs w:val="24"/>
        </w:rPr>
        <w:t>broaden their career horizons</w:t>
      </w:r>
      <w:r w:rsidR="00D65885">
        <w:rPr>
          <w:rFonts w:ascii="Arial" w:hAnsi="Arial" w:cs="Arial"/>
          <w:sz w:val="24"/>
          <w:szCs w:val="24"/>
        </w:rPr>
        <w:t>.</w:t>
      </w:r>
      <w:r w:rsidR="000D40B6">
        <w:rPr>
          <w:rFonts w:ascii="Arial" w:hAnsi="Arial" w:cs="Arial"/>
          <w:sz w:val="24"/>
          <w:szCs w:val="24"/>
        </w:rPr>
        <w:t xml:space="preserve"> </w:t>
      </w:r>
    </w:p>
    <w:p w:rsidR="00D4017B" w:rsidRDefault="00D4017B" w:rsidP="00194A53">
      <w:pPr>
        <w:spacing w:after="0"/>
        <w:jc w:val="both"/>
        <w:rPr>
          <w:rFonts w:ascii="Arial" w:hAnsi="Arial" w:cs="Arial"/>
          <w:sz w:val="24"/>
          <w:szCs w:val="24"/>
        </w:rPr>
      </w:pPr>
    </w:p>
    <w:p w:rsidR="008F2A64" w:rsidRDefault="00D4017B" w:rsidP="008F2A64">
      <w:pPr>
        <w:spacing w:after="0"/>
        <w:rPr>
          <w:rFonts w:ascii="Arial" w:hAnsi="Arial" w:cs="Arial"/>
          <w:sz w:val="24"/>
          <w:szCs w:val="24"/>
        </w:rPr>
      </w:pPr>
      <w:r>
        <w:rPr>
          <w:rFonts w:ascii="Arial" w:hAnsi="Arial" w:cs="Arial"/>
          <w:sz w:val="24"/>
          <w:szCs w:val="24"/>
        </w:rPr>
        <w:t>Program features</w:t>
      </w:r>
      <w:r w:rsidR="008F2A64">
        <w:rPr>
          <w:rFonts w:ascii="Arial" w:hAnsi="Arial" w:cs="Arial"/>
          <w:sz w:val="24"/>
          <w:szCs w:val="24"/>
        </w:rPr>
        <w:t xml:space="preserve"> 120 hrs of training (80 hrs – MIGR, 40 hrs – Biomedical Science). </w:t>
      </w:r>
    </w:p>
    <w:p w:rsidR="00E9250B" w:rsidRPr="009D0A38" w:rsidRDefault="008F2A64" w:rsidP="008F2A64">
      <w:pPr>
        <w:spacing w:after="0"/>
        <w:rPr>
          <w:rFonts w:ascii="Arial" w:hAnsi="Arial" w:cs="Arial"/>
          <w:b/>
          <w:color w:val="17365D"/>
          <w:sz w:val="28"/>
          <w:szCs w:val="28"/>
        </w:rPr>
      </w:pPr>
      <w:r>
        <w:rPr>
          <w:rFonts w:ascii="Arial" w:hAnsi="Arial" w:cs="Arial"/>
          <w:sz w:val="24"/>
          <w:szCs w:val="24"/>
        </w:rPr>
        <w:t>Biomedical Science component is as follows:</w:t>
      </w:r>
      <w:r w:rsidRPr="009D0A38">
        <w:rPr>
          <w:rFonts w:ascii="Arial" w:hAnsi="Arial" w:cs="Arial"/>
          <w:b/>
          <w:color w:val="17365D"/>
          <w:sz w:val="28"/>
          <w:szCs w:val="28"/>
        </w:rPr>
        <w:t xml:space="preserve"> </w:t>
      </w:r>
    </w:p>
    <w:tbl>
      <w:tblPr>
        <w:tblStyle w:val="TableGrid"/>
        <w:tblW w:w="9180" w:type="dxa"/>
        <w:tblLayout w:type="fixed"/>
        <w:tblLook w:val="04A0"/>
      </w:tblPr>
      <w:tblGrid>
        <w:gridCol w:w="3085"/>
        <w:gridCol w:w="6095"/>
      </w:tblGrid>
      <w:tr w:rsidR="008F2A64" w:rsidRPr="00C87ADB">
        <w:trPr>
          <w:trHeight w:val="722"/>
        </w:trPr>
        <w:tc>
          <w:tcPr>
            <w:tcW w:w="3085" w:type="dxa"/>
            <w:shd w:val="clear" w:color="auto" w:fill="FFFFFF" w:themeFill="background1"/>
          </w:tcPr>
          <w:p w:rsidR="008F2A64" w:rsidRPr="009D0A38" w:rsidRDefault="008F2A64" w:rsidP="009D0A38">
            <w:pPr>
              <w:spacing w:before="60" w:after="60"/>
              <w:rPr>
                <w:rFonts w:ascii="Arial" w:eastAsia="MS PGothic" w:hAnsi="Arial" w:cs="Arial"/>
                <w:b/>
                <w:bCs/>
                <w:color w:val="1F497D" w:themeColor="text2"/>
                <w:lang w:val="en-US"/>
              </w:rPr>
            </w:pPr>
            <w:r w:rsidRPr="009D0A38">
              <w:rPr>
                <w:rFonts w:ascii="Arial" w:eastAsia="MS PGothic" w:hAnsi="Arial" w:cs="Arial"/>
                <w:b/>
                <w:bCs/>
                <w:color w:val="1F497D" w:themeColor="text2"/>
                <w:lang w:val="en-US"/>
              </w:rPr>
              <w:t>Activity Title</w:t>
            </w:r>
          </w:p>
          <w:p w:rsidR="008F2A64" w:rsidRPr="009D0A38" w:rsidRDefault="008F2A64" w:rsidP="009D0A38">
            <w:pPr>
              <w:spacing w:before="60" w:after="60"/>
              <w:rPr>
                <w:rFonts w:ascii="Arial" w:eastAsia="MS PGothic" w:hAnsi="Arial" w:cs="Arial"/>
                <w:b/>
                <w:bCs/>
                <w:color w:val="1F497D" w:themeColor="text2"/>
                <w:lang w:val="en-US"/>
              </w:rPr>
            </w:pPr>
          </w:p>
        </w:tc>
        <w:tc>
          <w:tcPr>
            <w:tcW w:w="6095" w:type="dxa"/>
            <w:tcBorders>
              <w:left w:val="single" w:sz="4" w:space="0" w:color="auto"/>
            </w:tcBorders>
            <w:shd w:val="clear" w:color="auto" w:fill="FFFFFF" w:themeFill="background1"/>
          </w:tcPr>
          <w:p w:rsidR="008F2A64" w:rsidRPr="009D0A38" w:rsidRDefault="008F2A64" w:rsidP="009D0A38">
            <w:pPr>
              <w:spacing w:before="60" w:after="60"/>
              <w:rPr>
                <w:rFonts w:ascii="Arial" w:eastAsia="MS PGothic" w:hAnsi="Arial" w:cs="Arial"/>
                <w:b/>
                <w:bCs/>
                <w:color w:val="1F497D" w:themeColor="text2"/>
                <w:lang w:val="en-US"/>
              </w:rPr>
            </w:pPr>
            <w:r>
              <w:rPr>
                <w:rFonts w:ascii="Arial" w:eastAsia="MS PGothic" w:hAnsi="Arial" w:cs="Arial"/>
                <w:b/>
                <w:bCs/>
                <w:color w:val="1F497D" w:themeColor="text2"/>
                <w:lang w:val="en-US"/>
              </w:rPr>
              <w:t>Description and expected outcomes</w:t>
            </w:r>
          </w:p>
        </w:tc>
      </w:tr>
      <w:tr w:rsidR="008F2A64" w:rsidRPr="00C87ADB">
        <w:tc>
          <w:tcPr>
            <w:tcW w:w="3085" w:type="dxa"/>
            <w:tcBorders>
              <w:right w:val="single" w:sz="4" w:space="0" w:color="auto"/>
            </w:tcBorders>
          </w:tcPr>
          <w:p w:rsidR="008F2A64" w:rsidRPr="00AD7B0E" w:rsidRDefault="008F2A64" w:rsidP="008F2A64">
            <w:pPr>
              <w:spacing w:before="60" w:after="60"/>
              <w:rPr>
                <w:rFonts w:ascii="Arial" w:hAnsi="Arial" w:cs="Arial"/>
                <w:bCs/>
                <w:highlight w:val="yellow"/>
              </w:rPr>
            </w:pPr>
            <w:r>
              <w:rPr>
                <w:rFonts w:ascii="Arial" w:hAnsi="Arial"/>
                <w:lang w:val="en-US"/>
              </w:rPr>
              <w:t xml:space="preserve">Cutting Edge Research Technologies in Biomedical Science – Research Technology Platforms </w:t>
            </w:r>
          </w:p>
        </w:tc>
        <w:tc>
          <w:tcPr>
            <w:tcW w:w="6095" w:type="dxa"/>
          </w:tcPr>
          <w:p w:rsidR="008F2A64" w:rsidRPr="00975B16" w:rsidRDefault="008F2A64" w:rsidP="008F2A64">
            <w:pPr>
              <w:spacing w:before="60" w:after="60"/>
              <w:rPr>
                <w:rFonts w:ascii="Arial" w:hAnsi="Arial" w:cs="Arial"/>
                <w:bCs/>
                <w:highlight w:val="yellow"/>
              </w:rPr>
            </w:pPr>
            <w:r>
              <w:rPr>
                <w:rFonts w:ascii="Arial" w:hAnsi="Arial"/>
                <w:lang w:val="en-US"/>
              </w:rPr>
              <w:t xml:space="preserve">Training </w:t>
            </w:r>
            <w:r w:rsidRPr="008500D1">
              <w:rPr>
                <w:rFonts w:ascii="Arial" w:hAnsi="Arial"/>
                <w:lang w:val="en-US"/>
              </w:rPr>
              <w:t xml:space="preserve">may include attending workshops/symposia on specific platform </w:t>
            </w:r>
            <w:r>
              <w:rPr>
                <w:rFonts w:ascii="Arial" w:hAnsi="Arial"/>
                <w:lang w:val="en-US"/>
              </w:rPr>
              <w:t xml:space="preserve">research </w:t>
            </w:r>
            <w:r w:rsidRPr="008500D1">
              <w:rPr>
                <w:rFonts w:ascii="Arial" w:hAnsi="Arial"/>
                <w:lang w:val="en-US"/>
              </w:rPr>
              <w:t>technologies and specific equipment training</w:t>
            </w:r>
            <w:r w:rsidRPr="00975B16">
              <w:rPr>
                <w:rFonts w:ascii="Arial" w:hAnsi="Arial"/>
                <w:b/>
                <w:caps/>
                <w:lang w:val="en-US"/>
              </w:rPr>
              <w:t xml:space="preserve">. </w:t>
            </w:r>
            <w:r>
              <w:rPr>
                <w:rFonts w:ascii="Arial" w:hAnsi="Arial" w:cs="Arial"/>
                <w:bCs/>
              </w:rPr>
              <w:t xml:space="preserve">Level 1 of this training module is compulsory for all students undertaking the Biomedical Sciences Program. </w:t>
            </w:r>
          </w:p>
        </w:tc>
      </w:tr>
      <w:tr w:rsidR="008F2A64" w:rsidRPr="00C87ADB">
        <w:tc>
          <w:tcPr>
            <w:tcW w:w="3085" w:type="dxa"/>
            <w:tcBorders>
              <w:right w:val="single" w:sz="4" w:space="0" w:color="auto"/>
            </w:tcBorders>
          </w:tcPr>
          <w:p w:rsidR="008F2A64" w:rsidRDefault="008F2A64" w:rsidP="009D0A38">
            <w:pPr>
              <w:spacing w:before="60" w:after="60"/>
              <w:rPr>
                <w:rFonts w:ascii="Arial" w:hAnsi="Arial" w:cs="Arial"/>
                <w:bCs/>
                <w:highlight w:val="yellow"/>
              </w:rPr>
            </w:pPr>
            <w:r>
              <w:rPr>
                <w:rFonts w:asciiTheme="minorBidi" w:eastAsia="Times New Roman" w:hAnsiTheme="minorBidi"/>
                <w:kern w:val="28"/>
                <w:lang w:val="en-US"/>
              </w:rPr>
              <w:t>Effective Teaching Approaches in Biomedical Science</w:t>
            </w:r>
          </w:p>
          <w:p w:rsidR="008F2A64" w:rsidRPr="009D0A38" w:rsidRDefault="008F2A64" w:rsidP="009D0A38">
            <w:pPr>
              <w:spacing w:before="60" w:after="60"/>
              <w:rPr>
                <w:rFonts w:ascii="Arial" w:hAnsi="Arial" w:cs="Arial"/>
                <w:bCs/>
                <w:highlight w:val="yellow"/>
              </w:rPr>
            </w:pPr>
          </w:p>
        </w:tc>
        <w:tc>
          <w:tcPr>
            <w:tcW w:w="6095" w:type="dxa"/>
          </w:tcPr>
          <w:p w:rsidR="008F2A64" w:rsidRPr="009D0A38" w:rsidRDefault="008F2A64" w:rsidP="008F2A64">
            <w:pPr>
              <w:spacing w:before="60" w:after="60"/>
              <w:rPr>
                <w:rFonts w:ascii="Arial" w:hAnsi="Arial" w:cs="Arial"/>
                <w:bCs/>
                <w:highlight w:val="yellow"/>
              </w:rPr>
            </w:pPr>
            <w:r>
              <w:rPr>
                <w:rFonts w:asciiTheme="minorBidi" w:eastAsia="Times New Roman" w:hAnsiTheme="minorBidi"/>
                <w:kern w:val="28"/>
                <w:lang w:val="en-US"/>
              </w:rPr>
              <w:t>I</w:t>
            </w:r>
            <w:r w:rsidRPr="004D58AF">
              <w:rPr>
                <w:rFonts w:asciiTheme="minorBidi" w:eastAsia="Times New Roman" w:hAnsiTheme="minorBidi"/>
                <w:kern w:val="28"/>
                <w:lang w:val="en-US"/>
              </w:rPr>
              <w:t xml:space="preserve">ncludes the general Teaching Associate </w:t>
            </w:r>
            <w:r>
              <w:rPr>
                <w:rFonts w:asciiTheme="minorBidi" w:eastAsia="Times New Roman" w:hAnsiTheme="minorBidi"/>
                <w:kern w:val="28"/>
                <w:lang w:val="en-US"/>
              </w:rPr>
              <w:t xml:space="preserve">training workshop [one day – new], </w:t>
            </w:r>
            <w:r w:rsidRPr="004D58AF">
              <w:rPr>
                <w:rFonts w:asciiTheme="minorBidi" w:eastAsia="Times New Roman" w:hAnsiTheme="minorBidi"/>
                <w:kern w:val="28"/>
                <w:lang w:val="en-US"/>
              </w:rPr>
              <w:t xml:space="preserve">as well as </w:t>
            </w:r>
            <w:proofErr w:type="spellStart"/>
            <w:r w:rsidRPr="004D58AF">
              <w:rPr>
                <w:rFonts w:asciiTheme="minorBidi" w:eastAsia="Times New Roman" w:hAnsiTheme="minorBidi"/>
                <w:kern w:val="28"/>
                <w:lang w:val="en-US"/>
              </w:rPr>
              <w:t>convenor</w:t>
            </w:r>
            <w:proofErr w:type="spellEnd"/>
            <w:r w:rsidRPr="004D58AF">
              <w:rPr>
                <w:rFonts w:asciiTheme="minorBidi" w:eastAsia="Times New Roman" w:hAnsiTheme="minorBidi"/>
                <w:kern w:val="28"/>
                <w:lang w:val="en-US"/>
              </w:rPr>
              <w:t xml:space="preserve">-run demonstrator meetings to discuss teaching approaches (typically one meeting per week or fortnight throughout a semester). The maximum of 20 hours would usually involve demonstrating in 2-3 semesters.) </w:t>
            </w:r>
          </w:p>
        </w:tc>
      </w:tr>
      <w:tr w:rsidR="008F2A64" w:rsidRPr="00C87ADB">
        <w:tc>
          <w:tcPr>
            <w:tcW w:w="3085" w:type="dxa"/>
            <w:tcBorders>
              <w:right w:val="single" w:sz="4" w:space="0" w:color="auto"/>
            </w:tcBorders>
          </w:tcPr>
          <w:p w:rsidR="008F2A64" w:rsidRDefault="008F2A64" w:rsidP="00576065">
            <w:pPr>
              <w:spacing w:before="60" w:after="60"/>
              <w:rPr>
                <w:rFonts w:ascii="Arial" w:hAnsi="Arial" w:cs="Arial"/>
                <w:bCs/>
                <w:highlight w:val="yellow"/>
              </w:rPr>
            </w:pPr>
            <w:r w:rsidRPr="00CE03E3">
              <w:rPr>
                <w:rFonts w:ascii="Arial" w:eastAsia="SimSun" w:hAnsi="Arial" w:cs="Arial"/>
              </w:rPr>
              <w:t xml:space="preserve">Effective Management of a </w:t>
            </w:r>
            <w:r>
              <w:rPr>
                <w:rFonts w:ascii="Arial" w:eastAsia="SimSun" w:hAnsi="Arial" w:cs="Arial"/>
              </w:rPr>
              <w:t xml:space="preserve">Biomedical Science </w:t>
            </w:r>
            <w:r w:rsidRPr="00CE03E3">
              <w:rPr>
                <w:rFonts w:ascii="Arial" w:eastAsia="SimSun" w:hAnsi="Arial" w:cs="Arial"/>
              </w:rPr>
              <w:t>Research Project</w:t>
            </w:r>
            <w:r>
              <w:rPr>
                <w:rFonts w:ascii="Arial" w:hAnsi="Arial" w:cs="Arial"/>
                <w:bCs/>
              </w:rPr>
              <w:t>. (New - to be developed).</w:t>
            </w:r>
          </w:p>
          <w:p w:rsidR="008F2A64" w:rsidRDefault="008F2A64" w:rsidP="009D0A38">
            <w:pPr>
              <w:spacing w:before="60" w:after="60"/>
              <w:rPr>
                <w:rFonts w:ascii="Arial" w:hAnsi="Arial" w:cs="Arial"/>
                <w:bCs/>
                <w:highlight w:val="yellow"/>
              </w:rPr>
            </w:pPr>
          </w:p>
          <w:p w:rsidR="008F2A64" w:rsidRPr="009D0A38" w:rsidRDefault="008F2A64" w:rsidP="009D0A38">
            <w:pPr>
              <w:spacing w:before="60" w:after="60"/>
              <w:rPr>
                <w:rFonts w:ascii="Arial" w:hAnsi="Arial" w:cs="Arial"/>
                <w:bCs/>
                <w:highlight w:val="yellow"/>
              </w:rPr>
            </w:pPr>
          </w:p>
        </w:tc>
        <w:tc>
          <w:tcPr>
            <w:tcW w:w="6095" w:type="dxa"/>
          </w:tcPr>
          <w:p w:rsidR="008F2A64" w:rsidRPr="009D0A38" w:rsidRDefault="008F2A64" w:rsidP="009D0A38">
            <w:pPr>
              <w:spacing w:before="60" w:after="60"/>
              <w:rPr>
                <w:rFonts w:ascii="Arial" w:hAnsi="Arial" w:cs="Arial"/>
                <w:bCs/>
                <w:highlight w:val="yellow"/>
              </w:rPr>
            </w:pPr>
            <w:r w:rsidRPr="00767E92">
              <w:rPr>
                <w:rFonts w:ascii="Arial" w:hAnsi="Arial" w:cs="Arial"/>
                <w:bCs/>
              </w:rPr>
              <w:t>Pre-requisite MIGR project management modules</w:t>
            </w:r>
            <w:r>
              <w:rPr>
                <w:rFonts w:ascii="Arial" w:hAnsi="Arial" w:cs="Arial"/>
                <w:bCs/>
              </w:rPr>
              <w:t xml:space="preserve">, introductory and intermediate project management. </w:t>
            </w:r>
          </w:p>
          <w:p w:rsidR="008F2A64" w:rsidRPr="009D0A38" w:rsidRDefault="008F2A64" w:rsidP="009D0A38">
            <w:pPr>
              <w:spacing w:before="60" w:after="60"/>
              <w:rPr>
                <w:rFonts w:ascii="Arial" w:hAnsi="Arial" w:cs="Arial"/>
                <w:bCs/>
                <w:highlight w:val="yellow"/>
              </w:rPr>
            </w:pPr>
          </w:p>
        </w:tc>
      </w:tr>
      <w:tr w:rsidR="008F2A64" w:rsidRPr="00C87ADB">
        <w:tc>
          <w:tcPr>
            <w:tcW w:w="3085" w:type="dxa"/>
            <w:tcBorders>
              <w:right w:val="single" w:sz="4" w:space="0" w:color="auto"/>
            </w:tcBorders>
          </w:tcPr>
          <w:p w:rsidR="008F2A64" w:rsidRPr="001A4648" w:rsidRDefault="008F2A64" w:rsidP="009D0A38">
            <w:pPr>
              <w:spacing w:before="60" w:after="60"/>
              <w:rPr>
                <w:rFonts w:ascii="Arial" w:hAnsi="Arial" w:cs="Arial"/>
                <w:bCs/>
              </w:rPr>
            </w:pPr>
            <w:r>
              <w:rPr>
                <w:rFonts w:ascii="Arial" w:hAnsi="Arial" w:cs="Arial"/>
                <w:bCs/>
              </w:rPr>
              <w:t>From Project to Product.</w:t>
            </w:r>
          </w:p>
        </w:tc>
        <w:tc>
          <w:tcPr>
            <w:tcW w:w="6095" w:type="dxa"/>
          </w:tcPr>
          <w:p w:rsidR="008F2A64" w:rsidRDefault="009D4AB2" w:rsidP="00312452">
            <w:pPr>
              <w:spacing w:before="60" w:after="60"/>
              <w:rPr>
                <w:rFonts w:ascii="Arial" w:hAnsi="Arial" w:cs="Arial"/>
                <w:bCs/>
              </w:rPr>
            </w:pPr>
            <w:r w:rsidRPr="00CE03E3">
              <w:rPr>
                <w:rFonts w:ascii="Arial" w:eastAsia="SimSun" w:hAnsi="Arial" w:cs="Arial"/>
                <w:color w:val="000000"/>
                <w:kern w:val="28"/>
                <w:lang w:val="en-US"/>
              </w:rPr>
              <w:t>This module will introduce students to the initial stages of the planning process, including what needs to be considered when implementing such a project.</w:t>
            </w:r>
          </w:p>
        </w:tc>
      </w:tr>
      <w:tr w:rsidR="008F2A64" w:rsidRPr="00C87ADB">
        <w:tc>
          <w:tcPr>
            <w:tcW w:w="3085" w:type="dxa"/>
            <w:tcBorders>
              <w:right w:val="single" w:sz="4" w:space="0" w:color="auto"/>
            </w:tcBorders>
          </w:tcPr>
          <w:p w:rsidR="008F2A64" w:rsidRPr="00483C97" w:rsidRDefault="008F2A64" w:rsidP="00E82B6F">
            <w:pPr>
              <w:spacing w:before="60" w:after="60"/>
              <w:rPr>
                <w:rFonts w:ascii="Arial" w:hAnsi="Arial" w:cs="Arial"/>
              </w:rPr>
            </w:pPr>
            <w:r w:rsidRPr="00483C97">
              <w:rPr>
                <w:rFonts w:ascii="Arial" w:hAnsi="Arial" w:cs="Arial"/>
              </w:rPr>
              <w:t>Scholarly communication in the Biomedical Sciences</w:t>
            </w:r>
          </w:p>
          <w:p w:rsidR="008F2A64" w:rsidRPr="00483C97" w:rsidRDefault="008F2A64" w:rsidP="009D0A38">
            <w:pPr>
              <w:spacing w:before="60" w:after="60"/>
              <w:rPr>
                <w:rFonts w:ascii="Arial" w:hAnsi="Arial" w:cs="Arial"/>
                <w:bCs/>
                <w:highlight w:val="yellow"/>
              </w:rPr>
            </w:pPr>
          </w:p>
          <w:p w:rsidR="00C819DC" w:rsidRDefault="00C819DC" w:rsidP="009D0A38">
            <w:pPr>
              <w:spacing w:before="60" w:after="60"/>
              <w:rPr>
                <w:rFonts w:ascii="Arial" w:hAnsi="Arial" w:cs="Arial"/>
                <w:bCs/>
                <w:highlight w:val="yellow"/>
              </w:rPr>
            </w:pPr>
          </w:p>
          <w:p w:rsidR="00C819DC" w:rsidRDefault="00C819DC" w:rsidP="009D0A38">
            <w:pPr>
              <w:spacing w:before="60" w:after="60"/>
              <w:rPr>
                <w:rFonts w:ascii="Arial" w:hAnsi="Arial" w:cs="Arial"/>
                <w:bCs/>
                <w:highlight w:val="yellow"/>
              </w:rPr>
            </w:pPr>
          </w:p>
          <w:p w:rsidR="008F2A64" w:rsidRPr="00483C97" w:rsidRDefault="008F2A64" w:rsidP="009D0A38">
            <w:pPr>
              <w:spacing w:before="60" w:after="60"/>
              <w:rPr>
                <w:rFonts w:ascii="Arial" w:hAnsi="Arial" w:cs="Arial"/>
                <w:bCs/>
                <w:highlight w:val="yellow"/>
              </w:rPr>
            </w:pPr>
          </w:p>
        </w:tc>
        <w:tc>
          <w:tcPr>
            <w:tcW w:w="6095" w:type="dxa"/>
          </w:tcPr>
          <w:p w:rsidR="008F2A64" w:rsidRPr="00483C97" w:rsidRDefault="008F2A64" w:rsidP="009D0A38">
            <w:pPr>
              <w:spacing w:before="60" w:after="60"/>
              <w:rPr>
                <w:rFonts w:ascii="Arial" w:hAnsi="Arial" w:cs="Arial"/>
              </w:rPr>
            </w:pPr>
            <w:r w:rsidRPr="00483C97">
              <w:rPr>
                <w:rFonts w:ascii="Arial" w:hAnsi="Arial" w:cs="Arial"/>
              </w:rPr>
              <w:t>In this training module students will learn about discipline specific practices and tools to enable efficient scholarly communication throughout their research</w:t>
            </w:r>
            <w:r>
              <w:rPr>
                <w:rFonts w:ascii="Arial" w:hAnsi="Arial" w:cs="Arial"/>
              </w:rPr>
              <w:t xml:space="preserve"> program and into their careers.</w:t>
            </w:r>
          </w:p>
          <w:p w:rsidR="00C819DC" w:rsidRDefault="00C819DC" w:rsidP="009D0A38">
            <w:pPr>
              <w:spacing w:before="60" w:after="60"/>
              <w:rPr>
                <w:rFonts w:ascii="Arial" w:hAnsi="Arial" w:cs="Arial"/>
                <w:bCs/>
                <w:highlight w:val="yellow"/>
              </w:rPr>
            </w:pPr>
          </w:p>
          <w:p w:rsidR="008F2A64" w:rsidRPr="00483C97" w:rsidRDefault="008F2A64" w:rsidP="009D0A38">
            <w:pPr>
              <w:spacing w:before="60" w:after="60"/>
              <w:rPr>
                <w:rFonts w:ascii="Arial" w:hAnsi="Arial" w:cs="Arial"/>
                <w:bCs/>
                <w:highlight w:val="yellow"/>
              </w:rPr>
            </w:pPr>
          </w:p>
        </w:tc>
      </w:tr>
      <w:tr w:rsidR="008F2A64" w:rsidRPr="00C87ADB">
        <w:tc>
          <w:tcPr>
            <w:tcW w:w="3085" w:type="dxa"/>
            <w:tcBorders>
              <w:right w:val="single" w:sz="4" w:space="0" w:color="auto"/>
            </w:tcBorders>
          </w:tcPr>
          <w:p w:rsidR="008F2A64" w:rsidRPr="009D0A38" w:rsidRDefault="008F2A64" w:rsidP="00483C97">
            <w:pPr>
              <w:spacing w:before="60" w:after="60"/>
              <w:rPr>
                <w:rFonts w:ascii="Arial" w:hAnsi="Arial" w:cs="Arial"/>
                <w:bCs/>
                <w:highlight w:val="yellow"/>
              </w:rPr>
            </w:pPr>
            <w:r w:rsidRPr="001A4648">
              <w:rPr>
                <w:rFonts w:ascii="Arial" w:hAnsi="Arial" w:cs="Arial"/>
                <w:bCs/>
              </w:rPr>
              <w:t xml:space="preserve">Analysis of </w:t>
            </w:r>
            <w:r>
              <w:rPr>
                <w:rFonts w:ascii="Arial" w:hAnsi="Arial" w:cs="Arial"/>
                <w:bCs/>
              </w:rPr>
              <w:t xml:space="preserve">Current </w:t>
            </w:r>
            <w:r w:rsidRPr="001A4648">
              <w:rPr>
                <w:rFonts w:ascii="Arial" w:hAnsi="Arial" w:cs="Arial"/>
                <w:bCs/>
              </w:rPr>
              <w:t xml:space="preserve">Literature </w:t>
            </w:r>
            <w:r>
              <w:rPr>
                <w:rFonts w:ascii="Arial" w:hAnsi="Arial" w:cs="Arial"/>
                <w:bCs/>
              </w:rPr>
              <w:t>in Biomedical Science.</w:t>
            </w:r>
            <w:r w:rsidRPr="001A4648">
              <w:rPr>
                <w:rFonts w:ascii="Arial" w:hAnsi="Arial" w:cs="Arial"/>
                <w:bCs/>
              </w:rPr>
              <w:t xml:space="preserve"> </w:t>
            </w:r>
          </w:p>
        </w:tc>
        <w:tc>
          <w:tcPr>
            <w:tcW w:w="6095" w:type="dxa"/>
          </w:tcPr>
          <w:p w:rsidR="008F2A64" w:rsidRPr="009D0A38" w:rsidRDefault="009D4AB2" w:rsidP="009D0A38">
            <w:pPr>
              <w:spacing w:before="60" w:after="60"/>
              <w:rPr>
                <w:rFonts w:ascii="Arial" w:hAnsi="Arial" w:cs="Arial"/>
                <w:bCs/>
                <w:highlight w:val="yellow"/>
              </w:rPr>
            </w:pPr>
            <w:r>
              <w:rPr>
                <w:rFonts w:ascii="Arial" w:hAnsi="Arial" w:cs="Arial"/>
                <w:bCs/>
              </w:rPr>
              <w:t>Journal Club</w:t>
            </w:r>
          </w:p>
        </w:tc>
      </w:tr>
      <w:tr w:rsidR="008F2A64" w:rsidRPr="00C87ADB">
        <w:tc>
          <w:tcPr>
            <w:tcW w:w="3085" w:type="dxa"/>
            <w:tcBorders>
              <w:right w:val="single" w:sz="4" w:space="0" w:color="auto"/>
            </w:tcBorders>
          </w:tcPr>
          <w:p w:rsidR="008F2A64" w:rsidRPr="009D0A38" w:rsidRDefault="008F2A64" w:rsidP="00C2511E">
            <w:pPr>
              <w:spacing w:before="60" w:after="60"/>
              <w:rPr>
                <w:rFonts w:ascii="Arial" w:hAnsi="Arial" w:cs="Arial"/>
                <w:b/>
                <w:highlight w:val="yellow"/>
              </w:rPr>
            </w:pPr>
            <w:r w:rsidRPr="005E7BA4">
              <w:rPr>
                <w:rFonts w:ascii="Arial" w:hAnsi="Arial" w:cs="Arial"/>
              </w:rPr>
              <w:t>Other technical training programs in biomedical sciences (internal and external to Monash).</w:t>
            </w:r>
            <w:r>
              <w:rPr>
                <w:rFonts w:ascii="Arial" w:hAnsi="Arial" w:cs="Arial"/>
              </w:rPr>
              <w:t xml:space="preserve"> </w:t>
            </w:r>
          </w:p>
        </w:tc>
        <w:tc>
          <w:tcPr>
            <w:tcW w:w="6095" w:type="dxa"/>
          </w:tcPr>
          <w:p w:rsidR="008F2A64" w:rsidRDefault="008F2A64" w:rsidP="009D4AB2">
            <w:pPr>
              <w:spacing w:before="60" w:after="60"/>
              <w:rPr>
                <w:rFonts w:ascii="Arial" w:hAnsi="Arial" w:cs="Arial"/>
                <w:bCs/>
              </w:rPr>
            </w:pPr>
            <w:r>
              <w:rPr>
                <w:rFonts w:ascii="Arial" w:hAnsi="Arial" w:cs="Arial"/>
              </w:rPr>
              <w:t>Training m</w:t>
            </w:r>
            <w:r w:rsidRPr="005E7BA4">
              <w:rPr>
                <w:rFonts w:ascii="Arial" w:hAnsi="Arial" w:cs="Arial"/>
              </w:rPr>
              <w:t>ust be specifically for postgraduate students. Must be run by a recognized tertiary institution, specialist research centre or professional society in the relevant field.</w:t>
            </w:r>
            <w:r>
              <w:rPr>
                <w:rFonts w:ascii="Arial" w:hAnsi="Arial" w:cs="Arial"/>
              </w:rPr>
              <w:t xml:space="preserve"> </w:t>
            </w:r>
          </w:p>
        </w:tc>
      </w:tr>
      <w:tr w:rsidR="008F2A64" w:rsidRPr="00C87ADB">
        <w:tc>
          <w:tcPr>
            <w:tcW w:w="3085" w:type="dxa"/>
            <w:tcBorders>
              <w:right w:val="single" w:sz="4" w:space="0" w:color="auto"/>
            </w:tcBorders>
          </w:tcPr>
          <w:p w:rsidR="008F2A64" w:rsidRDefault="008F2A64" w:rsidP="00FB6418">
            <w:pPr>
              <w:spacing w:before="60" w:after="60"/>
              <w:rPr>
                <w:rFonts w:ascii="Arial" w:hAnsi="Arial" w:cs="Arial"/>
                <w:bCs/>
                <w:highlight w:val="yellow"/>
              </w:rPr>
            </w:pPr>
            <w:r>
              <w:rPr>
                <w:rFonts w:ascii="Arial" w:hAnsi="Arial" w:cs="Arial"/>
              </w:rPr>
              <w:t xml:space="preserve">Written and Oral Communication Skills for Biomedical Science. </w:t>
            </w:r>
            <w:r>
              <w:rPr>
                <w:rFonts w:ascii="Arial" w:hAnsi="Arial" w:cs="Arial"/>
                <w:bCs/>
              </w:rPr>
              <w:t>(New - to be developed).</w:t>
            </w:r>
          </w:p>
          <w:p w:rsidR="008F2A64" w:rsidRPr="005E7BA4" w:rsidRDefault="008F2A64" w:rsidP="00C2511E">
            <w:pPr>
              <w:spacing w:before="60" w:after="60"/>
              <w:rPr>
                <w:rFonts w:ascii="Arial" w:hAnsi="Arial" w:cs="Arial"/>
              </w:rPr>
            </w:pPr>
          </w:p>
        </w:tc>
        <w:tc>
          <w:tcPr>
            <w:tcW w:w="6095" w:type="dxa"/>
          </w:tcPr>
          <w:p w:rsidR="008F2A64" w:rsidRDefault="008F2A64" w:rsidP="009D4AB2">
            <w:pPr>
              <w:spacing w:before="60" w:after="60"/>
              <w:rPr>
                <w:rFonts w:ascii="Arial" w:hAnsi="Arial" w:cs="Arial"/>
                <w:bCs/>
              </w:rPr>
            </w:pPr>
            <w:r>
              <w:rPr>
                <w:rFonts w:ascii="Arial" w:eastAsia="SimSun" w:hAnsi="Arial" w:cs="Arial"/>
                <w:color w:val="000000"/>
                <w:kern w:val="28"/>
                <w:lang w:val="en-US"/>
              </w:rPr>
              <w:t xml:space="preserve">This module is </w:t>
            </w:r>
            <w:r w:rsidRPr="00CE03E3">
              <w:rPr>
                <w:rFonts w:ascii="Arial" w:eastAsia="SimSun" w:hAnsi="Arial" w:cs="Arial"/>
                <w:color w:val="000000"/>
                <w:kern w:val="28"/>
                <w:lang w:val="en-US"/>
              </w:rPr>
              <w:t xml:space="preserve">designed to </w:t>
            </w:r>
            <w:r>
              <w:rPr>
                <w:rFonts w:ascii="Arial" w:eastAsia="SimSun" w:hAnsi="Arial" w:cs="Arial"/>
                <w:color w:val="000000"/>
                <w:kern w:val="28"/>
                <w:lang w:val="en-US"/>
              </w:rPr>
              <w:t xml:space="preserve">build on the MIGR offerings in Research Development and further </w:t>
            </w:r>
            <w:r w:rsidRPr="00CE03E3">
              <w:rPr>
                <w:rFonts w:ascii="Arial" w:eastAsia="SimSun" w:hAnsi="Arial" w:cs="Arial"/>
                <w:color w:val="000000"/>
                <w:kern w:val="28"/>
                <w:lang w:val="en-US"/>
              </w:rPr>
              <w:t>develop the writte</w:t>
            </w:r>
            <w:r>
              <w:rPr>
                <w:rFonts w:ascii="Arial" w:eastAsia="SimSun" w:hAnsi="Arial" w:cs="Arial"/>
                <w:color w:val="000000"/>
                <w:kern w:val="28"/>
                <w:lang w:val="en-US"/>
              </w:rPr>
              <w:t xml:space="preserve">n and oral communication skills </w:t>
            </w:r>
            <w:r w:rsidRPr="00CE03E3">
              <w:rPr>
                <w:rFonts w:ascii="Arial" w:eastAsia="SimSun" w:hAnsi="Arial" w:cs="Arial"/>
                <w:color w:val="000000"/>
                <w:kern w:val="28"/>
                <w:lang w:val="en-US"/>
              </w:rPr>
              <w:t>for students</w:t>
            </w:r>
            <w:r>
              <w:rPr>
                <w:rFonts w:ascii="Arial" w:eastAsia="SimSun" w:hAnsi="Arial" w:cs="Arial"/>
                <w:color w:val="000000"/>
                <w:kern w:val="28"/>
                <w:lang w:val="en-US"/>
              </w:rPr>
              <w:t xml:space="preserve"> in biomedical science. </w:t>
            </w:r>
          </w:p>
        </w:tc>
      </w:tr>
    </w:tbl>
    <w:p w:rsidR="00FB1389" w:rsidRDefault="00FB1389">
      <w:pPr>
        <w:sectPr w:rsidR="00FB1389">
          <w:pgSz w:w="11900" w:h="16840"/>
          <w:pgMar w:top="1440" w:right="1440" w:bottom="1440" w:left="1440" w:header="709" w:footer="709" w:gutter="0"/>
          <w:cols w:space="708"/>
          <w:docGrid w:linePitch="360"/>
        </w:sectPr>
      </w:pPr>
    </w:p>
    <w:p w:rsidR="00DE4C70" w:rsidRDefault="00FB1389" w:rsidP="00DE4C70">
      <w:pPr>
        <w:pStyle w:val="Heading1"/>
        <w:spacing w:after="0"/>
        <w:jc w:val="center"/>
        <w:rPr>
          <w:rFonts w:cs="Arial"/>
          <w:color w:val="17365D"/>
          <w:sz w:val="28"/>
          <w:szCs w:val="28"/>
        </w:rPr>
      </w:pPr>
      <w:r w:rsidRPr="00C87ADB">
        <w:rPr>
          <w:rFonts w:cs="Arial"/>
          <w:color w:val="17365D"/>
          <w:sz w:val="28"/>
          <w:szCs w:val="28"/>
        </w:rPr>
        <w:t xml:space="preserve">PhD PROGRAM </w:t>
      </w:r>
    </w:p>
    <w:p w:rsidR="00FB1389" w:rsidRPr="00DE4C70" w:rsidRDefault="00FB1389" w:rsidP="00DE4C70"/>
    <w:p w:rsidR="00FB1389" w:rsidRDefault="00FB1389" w:rsidP="00DE4C70">
      <w:pPr>
        <w:spacing w:after="0"/>
        <w:jc w:val="center"/>
        <w:rPr>
          <w:rFonts w:ascii="Arial" w:hAnsi="Arial" w:cs="Arial"/>
          <w:b/>
          <w:sz w:val="24"/>
          <w:szCs w:val="24"/>
        </w:rPr>
      </w:pPr>
      <w:r w:rsidRPr="00E957C8">
        <w:rPr>
          <w:rFonts w:ascii="Arial" w:hAnsi="Arial" w:cs="Arial"/>
          <w:b/>
          <w:sz w:val="24"/>
          <w:szCs w:val="24"/>
        </w:rPr>
        <w:t xml:space="preserve">Education, Teaching and Learning </w:t>
      </w:r>
      <w:r>
        <w:rPr>
          <w:rFonts w:ascii="Arial" w:hAnsi="Arial" w:cs="Arial"/>
          <w:b/>
          <w:sz w:val="24"/>
          <w:szCs w:val="24"/>
        </w:rPr>
        <w:t>–</w:t>
      </w:r>
      <w:r w:rsidRPr="00E957C8">
        <w:rPr>
          <w:rFonts w:ascii="Arial" w:hAnsi="Arial" w:cs="Arial"/>
          <w:b/>
          <w:sz w:val="24"/>
          <w:szCs w:val="24"/>
        </w:rPr>
        <w:t xml:space="preserve"> Medicine</w:t>
      </w:r>
    </w:p>
    <w:p w:rsidR="00FB1389" w:rsidRPr="003D0A0D" w:rsidRDefault="00FB1389" w:rsidP="00FB1389">
      <w:pPr>
        <w:spacing w:after="0"/>
        <w:jc w:val="center"/>
        <w:rPr>
          <w:rFonts w:ascii="Arial" w:hAnsi="Arial" w:cs="Arial"/>
          <w:b/>
          <w:sz w:val="24"/>
          <w:szCs w:val="24"/>
        </w:rPr>
      </w:pPr>
      <w:r>
        <w:rPr>
          <w:rFonts w:ascii="Arial" w:hAnsi="Arial" w:cs="Arial"/>
          <w:b/>
          <w:sz w:val="24"/>
          <w:szCs w:val="24"/>
        </w:rPr>
        <w:t>Program Director: Prof. Wayne Hodgson</w:t>
      </w:r>
      <w:r w:rsidR="00C508D2">
        <w:rPr>
          <w:rFonts w:ascii="Arial" w:hAnsi="Arial" w:cs="Arial"/>
          <w:b/>
          <w:sz w:val="24"/>
          <w:szCs w:val="24"/>
        </w:rPr>
        <w:t xml:space="preserve"> and Prof. Marg Hay</w:t>
      </w:r>
    </w:p>
    <w:p w:rsidR="00FB1389" w:rsidRPr="00E957C8" w:rsidRDefault="00FB1389" w:rsidP="00FB1389">
      <w:pPr>
        <w:spacing w:after="0"/>
        <w:jc w:val="center"/>
        <w:rPr>
          <w:rFonts w:ascii="Arial" w:hAnsi="Arial" w:cs="Arial"/>
          <w:b/>
          <w:sz w:val="24"/>
          <w:szCs w:val="24"/>
        </w:rPr>
      </w:pPr>
    </w:p>
    <w:p w:rsidR="00FB1389" w:rsidRPr="007522DD" w:rsidRDefault="00FB1389" w:rsidP="00FB1389">
      <w:pPr>
        <w:spacing w:after="0"/>
        <w:rPr>
          <w:rFonts w:ascii="Arial" w:hAnsi="Arial" w:cs="Arial"/>
          <w:sz w:val="24"/>
          <w:szCs w:val="24"/>
        </w:rPr>
      </w:pPr>
    </w:p>
    <w:p w:rsidR="00FB1389" w:rsidRDefault="00FB1389" w:rsidP="00FB1389">
      <w:pPr>
        <w:widowControl w:val="0"/>
        <w:autoSpaceDE w:val="0"/>
        <w:autoSpaceDN w:val="0"/>
        <w:adjustRightInd w:val="0"/>
        <w:spacing w:after="260" w:line="240" w:lineRule="auto"/>
        <w:jc w:val="both"/>
        <w:rPr>
          <w:rFonts w:ascii="Arial" w:hAnsi="Arial" w:cs="Arial"/>
          <w:color w:val="353535"/>
          <w:sz w:val="24"/>
          <w:szCs w:val="24"/>
          <w:lang w:val="en-US"/>
        </w:rPr>
      </w:pPr>
      <w:r w:rsidRPr="006D48B0">
        <w:rPr>
          <w:rFonts w:ascii="Arial" w:hAnsi="Arial" w:cs="Arial"/>
          <w:sz w:val="24"/>
          <w:szCs w:val="24"/>
        </w:rPr>
        <w:t xml:space="preserve">Within the Faculty of Medicine, Nursing and Health Sciences there is a small cohort, currently 10 students, who undertake HDR research in Education, Teaching and Learning, a portfolio that falls under the responsibility of the Deputy Dean of Education, Prof. Wayne Hodgson. </w:t>
      </w:r>
      <w:r w:rsidRPr="006D48B0">
        <w:rPr>
          <w:rFonts w:ascii="Arial" w:hAnsi="Arial" w:cs="Arial"/>
          <w:color w:val="353535"/>
          <w:sz w:val="24"/>
          <w:szCs w:val="24"/>
          <w:lang w:val="en-US"/>
        </w:rPr>
        <w:t>Students are enrolled in the academic unit FMNHS - The Health Professions Education and Educational Research (</w:t>
      </w:r>
      <w:proofErr w:type="spellStart"/>
      <w:r w:rsidRPr="006D48B0">
        <w:rPr>
          <w:rFonts w:ascii="Arial" w:hAnsi="Arial" w:cs="Arial"/>
          <w:color w:val="353535"/>
          <w:sz w:val="24"/>
          <w:szCs w:val="24"/>
          <w:lang w:val="en-US"/>
        </w:rPr>
        <w:t>HealthPEER</w:t>
      </w:r>
      <w:proofErr w:type="spellEnd"/>
      <w:r w:rsidRPr="006D48B0">
        <w:rPr>
          <w:rFonts w:ascii="Arial" w:hAnsi="Arial" w:cs="Arial"/>
          <w:color w:val="353535"/>
          <w:sz w:val="24"/>
          <w:szCs w:val="24"/>
          <w:lang w:val="en-US"/>
        </w:rPr>
        <w:t xml:space="preserve">). In the future students in this discipline are likely to grow as Education-focused academics </w:t>
      </w:r>
      <w:r>
        <w:rPr>
          <w:rFonts w:ascii="Arial" w:hAnsi="Arial" w:cs="Arial"/>
          <w:color w:val="353535"/>
          <w:sz w:val="24"/>
          <w:szCs w:val="24"/>
          <w:lang w:val="en-US"/>
        </w:rPr>
        <w:t>across</w:t>
      </w:r>
      <w:r w:rsidRPr="006D48B0">
        <w:rPr>
          <w:rFonts w:ascii="Arial" w:hAnsi="Arial" w:cs="Arial"/>
          <w:color w:val="353535"/>
          <w:sz w:val="24"/>
          <w:szCs w:val="24"/>
          <w:lang w:val="en-US"/>
        </w:rPr>
        <w:t xml:space="preserve"> the faculty develop their </w:t>
      </w:r>
      <w:proofErr w:type="gramStart"/>
      <w:r w:rsidRPr="006D48B0">
        <w:rPr>
          <w:rFonts w:ascii="Arial" w:hAnsi="Arial" w:cs="Arial"/>
          <w:color w:val="353535"/>
          <w:sz w:val="24"/>
          <w:szCs w:val="24"/>
          <w:lang w:val="en-US"/>
        </w:rPr>
        <w:t>discipline based</w:t>
      </w:r>
      <w:proofErr w:type="gramEnd"/>
      <w:r w:rsidRPr="006D48B0">
        <w:rPr>
          <w:rFonts w:ascii="Arial" w:hAnsi="Arial" w:cs="Arial"/>
          <w:color w:val="353535"/>
          <w:sz w:val="24"/>
          <w:szCs w:val="24"/>
          <w:lang w:val="en-US"/>
        </w:rPr>
        <w:t xml:space="preserve"> research in learning and teaching. </w:t>
      </w:r>
    </w:p>
    <w:p w:rsidR="00B17293" w:rsidRDefault="00B17293" w:rsidP="00F7725D">
      <w:pPr>
        <w:spacing w:after="0"/>
        <w:rPr>
          <w:rFonts w:ascii="Arial" w:hAnsi="Arial" w:cs="Arial"/>
          <w:sz w:val="24"/>
          <w:szCs w:val="24"/>
        </w:rPr>
      </w:pPr>
      <w:r>
        <w:rPr>
          <w:rFonts w:ascii="Arial" w:hAnsi="Arial" w:cs="Arial"/>
          <w:sz w:val="24"/>
          <w:szCs w:val="24"/>
        </w:rPr>
        <w:t xml:space="preserve">Program features 120 hrs of training (80 hrs – MIGR, 40 hrs – </w:t>
      </w:r>
      <w:proofErr w:type="spellStart"/>
      <w:r>
        <w:rPr>
          <w:rFonts w:ascii="Arial" w:hAnsi="Arial" w:cs="Arial"/>
          <w:sz w:val="24"/>
          <w:szCs w:val="24"/>
        </w:rPr>
        <w:t>HealthPeer</w:t>
      </w:r>
      <w:proofErr w:type="spellEnd"/>
      <w:r>
        <w:rPr>
          <w:rFonts w:ascii="Arial" w:hAnsi="Arial" w:cs="Arial"/>
          <w:sz w:val="24"/>
          <w:szCs w:val="24"/>
        </w:rPr>
        <w:t>- FMNHS, Faculty of Education). FMNHS and Faculty of Education component is as follows:</w:t>
      </w:r>
      <w:r w:rsidRPr="009D0A38">
        <w:rPr>
          <w:rFonts w:ascii="Arial" w:hAnsi="Arial" w:cs="Arial"/>
          <w:b/>
          <w:color w:val="17365D"/>
          <w:sz w:val="28"/>
          <w:szCs w:val="28"/>
        </w:rPr>
        <w:t xml:space="preserve"> </w:t>
      </w:r>
    </w:p>
    <w:p w:rsidR="00F7725D" w:rsidRPr="00F7725D" w:rsidRDefault="00F7725D" w:rsidP="00F7725D">
      <w:pPr>
        <w:spacing w:after="0"/>
        <w:rPr>
          <w:rFonts w:ascii="Arial" w:hAnsi="Arial" w:cs="Arial"/>
          <w:sz w:val="24"/>
          <w:szCs w:val="24"/>
        </w:rPr>
      </w:pPr>
    </w:p>
    <w:p w:rsidR="00FB1389" w:rsidRPr="007340A9" w:rsidRDefault="00FB1389" w:rsidP="00FB1389">
      <w:pPr>
        <w:spacing w:after="0"/>
        <w:jc w:val="both"/>
        <w:rPr>
          <w:rFonts w:ascii="Arial" w:hAnsi="Arial" w:cs="Arial"/>
          <w:sz w:val="24"/>
          <w:szCs w:val="24"/>
        </w:rPr>
      </w:pPr>
      <w:r w:rsidRPr="007340A9">
        <w:rPr>
          <w:rFonts w:ascii="Arial" w:hAnsi="Arial" w:cs="Arial"/>
          <w:sz w:val="24"/>
          <w:szCs w:val="24"/>
        </w:rPr>
        <w:t xml:space="preserve">It is proposed that training for students who undertake HDR research in this discipline area is composed of </w:t>
      </w:r>
      <w:r>
        <w:rPr>
          <w:rFonts w:ascii="Arial" w:hAnsi="Arial" w:cs="Arial"/>
          <w:sz w:val="24"/>
          <w:szCs w:val="24"/>
        </w:rPr>
        <w:t xml:space="preserve">opportunities </w:t>
      </w:r>
      <w:r w:rsidRPr="007340A9">
        <w:rPr>
          <w:rFonts w:ascii="Arial" w:hAnsi="Arial" w:cs="Arial"/>
          <w:sz w:val="24"/>
          <w:szCs w:val="24"/>
        </w:rPr>
        <w:t>to</w:t>
      </w:r>
      <w:r>
        <w:rPr>
          <w:rFonts w:ascii="Arial" w:hAnsi="Arial" w:cs="Arial"/>
          <w:sz w:val="24"/>
          <w:szCs w:val="24"/>
        </w:rPr>
        <w:t xml:space="preserve"> be able to</w:t>
      </w:r>
      <w:r w:rsidRPr="007340A9">
        <w:rPr>
          <w:rFonts w:ascii="Arial" w:hAnsi="Arial" w:cs="Arial"/>
          <w:sz w:val="24"/>
          <w:szCs w:val="24"/>
        </w:rPr>
        <w:t>:</w:t>
      </w:r>
    </w:p>
    <w:p w:rsidR="00FB1389" w:rsidRPr="007340A9" w:rsidRDefault="00FB1389" w:rsidP="00FB1389">
      <w:pPr>
        <w:spacing w:after="0"/>
        <w:rPr>
          <w:rFonts w:ascii="Arial" w:hAnsi="Arial" w:cs="Arial"/>
          <w:sz w:val="24"/>
          <w:szCs w:val="24"/>
        </w:rPr>
      </w:pPr>
    </w:p>
    <w:p w:rsidR="00FB1389" w:rsidRPr="00C8148E" w:rsidRDefault="00FB1389" w:rsidP="00FB1389">
      <w:pPr>
        <w:pStyle w:val="ListParagraph"/>
        <w:numPr>
          <w:ilvl w:val="0"/>
          <w:numId w:val="47"/>
        </w:numPr>
        <w:ind w:left="284" w:hanging="284"/>
        <w:jc w:val="both"/>
        <w:rPr>
          <w:rFonts w:ascii="Arial" w:hAnsi="Arial" w:cs="Arial"/>
          <w:sz w:val="24"/>
          <w:szCs w:val="24"/>
        </w:rPr>
      </w:pPr>
      <w:r w:rsidRPr="00C8148E">
        <w:rPr>
          <w:rFonts w:ascii="Arial" w:hAnsi="Arial" w:cs="Arial"/>
          <w:sz w:val="24"/>
          <w:szCs w:val="24"/>
        </w:rPr>
        <w:t>Audit three units that compose part of the Graduate Certificate in Health Professional Education.</w:t>
      </w:r>
    </w:p>
    <w:p w:rsidR="00FB1389" w:rsidRPr="00C8148E" w:rsidRDefault="00FB1389" w:rsidP="00FB1389">
      <w:pPr>
        <w:pStyle w:val="ListParagraph"/>
        <w:jc w:val="both"/>
        <w:rPr>
          <w:rFonts w:ascii="Arial" w:hAnsi="Arial" w:cs="Arial"/>
          <w:sz w:val="24"/>
          <w:szCs w:val="24"/>
        </w:rPr>
      </w:pPr>
    </w:p>
    <w:p w:rsidR="00FB1389" w:rsidRPr="007340A9" w:rsidRDefault="00FB1389" w:rsidP="00FB1389">
      <w:pPr>
        <w:pStyle w:val="ListParagraph"/>
        <w:numPr>
          <w:ilvl w:val="0"/>
          <w:numId w:val="46"/>
        </w:numPr>
        <w:jc w:val="both"/>
        <w:rPr>
          <w:rFonts w:ascii="Arial" w:hAnsi="Arial"/>
          <w:sz w:val="24"/>
          <w:szCs w:val="24"/>
        </w:rPr>
      </w:pPr>
      <w:r w:rsidRPr="007340A9">
        <w:rPr>
          <w:rFonts w:ascii="Arial" w:hAnsi="Arial"/>
          <w:sz w:val="24"/>
          <w:szCs w:val="24"/>
        </w:rPr>
        <w:t>MEU9001: An introduction to teaching and learning in the health professions</w:t>
      </w:r>
    </w:p>
    <w:p w:rsidR="00FB1389" w:rsidRPr="007340A9" w:rsidRDefault="00FB1389" w:rsidP="00FB1389">
      <w:pPr>
        <w:pStyle w:val="ListParagraph"/>
        <w:numPr>
          <w:ilvl w:val="0"/>
          <w:numId w:val="46"/>
        </w:numPr>
        <w:spacing w:before="60" w:after="60"/>
        <w:jc w:val="both"/>
        <w:rPr>
          <w:rFonts w:ascii="Arial" w:hAnsi="Arial"/>
          <w:sz w:val="24"/>
          <w:szCs w:val="24"/>
        </w:rPr>
      </w:pPr>
      <w:r w:rsidRPr="007340A9">
        <w:rPr>
          <w:rFonts w:ascii="Arial" w:hAnsi="Arial"/>
          <w:sz w:val="24"/>
          <w:szCs w:val="24"/>
        </w:rPr>
        <w:t xml:space="preserve">MEU9011: Research methods in health professional education </w:t>
      </w:r>
    </w:p>
    <w:p w:rsidR="00FB1389" w:rsidRPr="007340A9" w:rsidRDefault="00FB1389" w:rsidP="00FB1389">
      <w:pPr>
        <w:pStyle w:val="ListParagraph"/>
        <w:numPr>
          <w:ilvl w:val="0"/>
          <w:numId w:val="46"/>
        </w:numPr>
        <w:spacing w:before="60" w:after="60"/>
        <w:jc w:val="both"/>
        <w:rPr>
          <w:rFonts w:ascii="Arial" w:hAnsi="Arial" w:cs="Arial"/>
          <w:bCs/>
          <w:sz w:val="24"/>
          <w:szCs w:val="24"/>
        </w:rPr>
      </w:pPr>
      <w:r w:rsidRPr="007340A9">
        <w:rPr>
          <w:rFonts w:ascii="Arial" w:hAnsi="Arial"/>
          <w:sz w:val="24"/>
          <w:szCs w:val="24"/>
        </w:rPr>
        <w:t>MEU9015: Contemporary innovations and research in health professions education</w:t>
      </w:r>
    </w:p>
    <w:p w:rsidR="00FB1389" w:rsidRPr="007340A9" w:rsidRDefault="00FB1389" w:rsidP="00FB1389">
      <w:pPr>
        <w:spacing w:before="60" w:after="60"/>
        <w:jc w:val="both"/>
        <w:rPr>
          <w:rFonts w:ascii="Arial" w:hAnsi="Arial" w:cs="Arial"/>
          <w:bCs/>
          <w:sz w:val="24"/>
          <w:szCs w:val="24"/>
        </w:rPr>
      </w:pPr>
    </w:p>
    <w:p w:rsidR="00FB1389" w:rsidRPr="007340A9" w:rsidRDefault="00FB1389" w:rsidP="00FB1389">
      <w:pPr>
        <w:spacing w:before="60" w:after="60"/>
        <w:jc w:val="both"/>
        <w:rPr>
          <w:rFonts w:ascii="Arial" w:hAnsi="Arial" w:cs="Arial"/>
          <w:bCs/>
          <w:sz w:val="24"/>
          <w:szCs w:val="24"/>
        </w:rPr>
      </w:pPr>
      <w:r w:rsidRPr="007340A9">
        <w:rPr>
          <w:rFonts w:ascii="Arial" w:hAnsi="Arial" w:cs="Arial"/>
          <w:bCs/>
          <w:sz w:val="24"/>
          <w:szCs w:val="24"/>
        </w:rPr>
        <w:t>2) Undertake Faculty Research Skills Tra</w:t>
      </w:r>
      <w:r>
        <w:rPr>
          <w:rFonts w:ascii="Arial" w:hAnsi="Arial" w:cs="Arial"/>
          <w:bCs/>
          <w:sz w:val="24"/>
          <w:szCs w:val="24"/>
        </w:rPr>
        <w:t xml:space="preserve">ining Modules from the </w:t>
      </w:r>
      <w:r w:rsidRPr="007340A9">
        <w:rPr>
          <w:rFonts w:ascii="Arial" w:hAnsi="Arial" w:cs="Arial"/>
          <w:bCs/>
          <w:sz w:val="24"/>
          <w:szCs w:val="24"/>
        </w:rPr>
        <w:t xml:space="preserve">Faculty of </w:t>
      </w:r>
      <w:r>
        <w:rPr>
          <w:rFonts w:ascii="Arial" w:hAnsi="Arial" w:cs="Arial"/>
          <w:bCs/>
          <w:sz w:val="24"/>
          <w:szCs w:val="24"/>
        </w:rPr>
        <w:t xml:space="preserve">Education PhD Training Program as this aligns with the discipline research area. </w:t>
      </w:r>
    </w:p>
    <w:p w:rsidR="00B17293" w:rsidRDefault="00B17293">
      <w:pPr>
        <w:sectPr w:rsidR="00B17293">
          <w:pgSz w:w="11900" w:h="16840"/>
          <w:pgMar w:top="1440" w:right="1440" w:bottom="1440" w:left="1440" w:header="709" w:footer="709" w:gutter="0"/>
          <w:cols w:space="708"/>
          <w:docGrid w:linePitch="360"/>
        </w:sectPr>
      </w:pPr>
    </w:p>
    <w:p w:rsidR="00B17293" w:rsidRDefault="00B17293" w:rsidP="00B17293">
      <w:pPr>
        <w:pStyle w:val="Heading1"/>
        <w:spacing w:after="0"/>
        <w:jc w:val="center"/>
        <w:rPr>
          <w:rFonts w:cs="Arial"/>
          <w:b w:val="0"/>
          <w:bCs w:val="0"/>
          <w:color w:val="17365D"/>
          <w:sz w:val="28"/>
          <w:szCs w:val="28"/>
        </w:rPr>
      </w:pPr>
      <w:r w:rsidRPr="00AF2E83">
        <w:rPr>
          <w:rFonts w:cs="Arial"/>
          <w:color w:val="17365D"/>
          <w:sz w:val="28"/>
          <w:szCs w:val="28"/>
        </w:rPr>
        <w:t xml:space="preserve">PhD PROGRAM </w:t>
      </w:r>
    </w:p>
    <w:p w:rsidR="00B17293" w:rsidRPr="00C508D2" w:rsidRDefault="00B17293" w:rsidP="00B17293">
      <w:pPr>
        <w:spacing w:after="0"/>
        <w:jc w:val="center"/>
        <w:rPr>
          <w:rFonts w:ascii="Arial" w:hAnsi="Arial" w:cs="Arial"/>
          <w:b/>
          <w:sz w:val="16"/>
          <w:szCs w:val="24"/>
        </w:rPr>
      </w:pPr>
    </w:p>
    <w:p w:rsidR="00B17293" w:rsidRDefault="00B17293" w:rsidP="00E629A5">
      <w:pPr>
        <w:spacing w:after="0"/>
        <w:jc w:val="center"/>
        <w:rPr>
          <w:rFonts w:ascii="Arial" w:hAnsi="Arial" w:cs="Arial"/>
          <w:b/>
          <w:sz w:val="24"/>
          <w:szCs w:val="24"/>
        </w:rPr>
      </w:pPr>
      <w:r w:rsidRPr="003D0A0D">
        <w:rPr>
          <w:rFonts w:ascii="Arial" w:hAnsi="Arial" w:cs="Arial"/>
          <w:b/>
          <w:sz w:val="24"/>
          <w:szCs w:val="24"/>
        </w:rPr>
        <w:t>Nursing and Midwifery</w:t>
      </w:r>
    </w:p>
    <w:p w:rsidR="00B17293" w:rsidRPr="003D0A0D" w:rsidRDefault="00B17293" w:rsidP="00B17293">
      <w:pPr>
        <w:spacing w:after="0"/>
        <w:jc w:val="center"/>
        <w:rPr>
          <w:rFonts w:ascii="Arial" w:hAnsi="Arial" w:cs="Arial"/>
          <w:b/>
          <w:sz w:val="24"/>
          <w:szCs w:val="24"/>
        </w:rPr>
      </w:pPr>
      <w:r>
        <w:rPr>
          <w:rFonts w:ascii="Arial" w:hAnsi="Arial" w:cs="Arial"/>
          <w:b/>
          <w:sz w:val="24"/>
          <w:szCs w:val="24"/>
        </w:rPr>
        <w:t>Program Director: Dr. Susan Lee</w:t>
      </w:r>
    </w:p>
    <w:p w:rsidR="00C508D2" w:rsidRDefault="00C508D2" w:rsidP="00B17293">
      <w:pPr>
        <w:spacing w:after="0"/>
        <w:jc w:val="both"/>
        <w:rPr>
          <w:rFonts w:ascii="Arial" w:hAnsi="Arial" w:cs="Arial"/>
          <w:b/>
          <w:sz w:val="24"/>
          <w:szCs w:val="24"/>
        </w:rPr>
      </w:pPr>
    </w:p>
    <w:p w:rsidR="00B17293" w:rsidRDefault="00B17293" w:rsidP="00B17293">
      <w:pPr>
        <w:spacing w:after="0"/>
        <w:jc w:val="both"/>
        <w:rPr>
          <w:rFonts w:ascii="Arial" w:hAnsi="Arial" w:cs="Arial"/>
          <w:sz w:val="24"/>
          <w:szCs w:val="24"/>
        </w:rPr>
      </w:pPr>
      <w:r w:rsidRPr="003D0A0D">
        <w:rPr>
          <w:rFonts w:ascii="Arial" w:hAnsi="Arial" w:cs="Arial"/>
          <w:sz w:val="24"/>
          <w:szCs w:val="24"/>
        </w:rPr>
        <w:t xml:space="preserve">Within the Faculty of Medicine, Nursing and Health Sciences students who undertake a doctorate by research in Nursing and Midwifery already have a vocation and professional qualification in Nursing and Midwifery.  The role of the doctor of philosophy is to build core research skills in addition to clinical knowledge. It is proposed that training for students who undertake HDR research in this discipline area is composed of opportunities that these students have not previously had to gain the skills they need to perform evidence based research and be able to communicate this with impact. Opportunities to build skills required for career opportunities in educational roles in academia or health care organisations are also included. </w:t>
      </w:r>
    </w:p>
    <w:p w:rsidR="00B17293" w:rsidRDefault="00B17293" w:rsidP="00B17293">
      <w:pPr>
        <w:spacing w:after="0"/>
        <w:jc w:val="both"/>
        <w:rPr>
          <w:rFonts w:ascii="Arial" w:hAnsi="Arial" w:cs="Arial"/>
          <w:sz w:val="24"/>
          <w:szCs w:val="24"/>
        </w:rPr>
      </w:pPr>
    </w:p>
    <w:p w:rsidR="009D0A38" w:rsidRDefault="00B17293">
      <w:r>
        <w:rPr>
          <w:rFonts w:ascii="Arial" w:hAnsi="Arial" w:cs="Arial"/>
          <w:sz w:val="24"/>
          <w:szCs w:val="24"/>
        </w:rPr>
        <w:t>Program features 120 hrs of training (80 hrs – MIGR, 40 hrs –Nursing and Midwifery).</w:t>
      </w:r>
    </w:p>
    <w:tbl>
      <w:tblPr>
        <w:tblStyle w:val="TableGrid"/>
        <w:tblW w:w="9180" w:type="dxa"/>
        <w:tblLayout w:type="fixed"/>
        <w:tblLook w:val="04A0"/>
      </w:tblPr>
      <w:tblGrid>
        <w:gridCol w:w="3085"/>
        <w:gridCol w:w="6095"/>
      </w:tblGrid>
      <w:tr w:rsidR="00B17293" w:rsidRPr="00AF2E83">
        <w:trPr>
          <w:trHeight w:val="722"/>
        </w:trPr>
        <w:tc>
          <w:tcPr>
            <w:tcW w:w="3085" w:type="dxa"/>
            <w:shd w:val="clear" w:color="auto" w:fill="FFFFFF" w:themeFill="background1"/>
          </w:tcPr>
          <w:p w:rsidR="00B17293" w:rsidRPr="00AF2E83" w:rsidRDefault="00B17293" w:rsidP="00AA6B97">
            <w:pPr>
              <w:spacing w:before="60" w:after="60"/>
              <w:rPr>
                <w:rFonts w:ascii="Arial" w:eastAsia="MS PGothic" w:hAnsi="Arial" w:cs="Arial"/>
                <w:b/>
                <w:bCs/>
                <w:color w:val="1F497D" w:themeColor="text2"/>
                <w:lang w:val="en-US"/>
              </w:rPr>
            </w:pPr>
            <w:r w:rsidRPr="00AF2E83">
              <w:rPr>
                <w:rFonts w:ascii="Arial" w:eastAsia="MS PGothic" w:hAnsi="Arial" w:cs="Arial"/>
                <w:b/>
                <w:bCs/>
                <w:color w:val="1F497D" w:themeColor="text2"/>
                <w:lang w:val="en-US"/>
              </w:rPr>
              <w:t>Activity Title</w:t>
            </w:r>
          </w:p>
          <w:p w:rsidR="00B17293" w:rsidRPr="00AF2E83" w:rsidRDefault="00B17293" w:rsidP="00AA6B97">
            <w:pPr>
              <w:spacing w:before="60" w:after="60"/>
              <w:rPr>
                <w:rFonts w:ascii="Arial" w:eastAsia="MS PGothic" w:hAnsi="Arial" w:cs="Arial"/>
                <w:b/>
                <w:bCs/>
                <w:color w:val="1F497D" w:themeColor="text2"/>
                <w:lang w:val="en-US"/>
              </w:rPr>
            </w:pPr>
          </w:p>
        </w:tc>
        <w:tc>
          <w:tcPr>
            <w:tcW w:w="6095" w:type="dxa"/>
            <w:tcBorders>
              <w:left w:val="single" w:sz="4" w:space="0" w:color="auto"/>
            </w:tcBorders>
            <w:shd w:val="clear" w:color="auto" w:fill="FFFFFF" w:themeFill="background1"/>
          </w:tcPr>
          <w:p w:rsidR="00B17293" w:rsidRPr="00AF2E83" w:rsidRDefault="00B17293" w:rsidP="00AA6B97">
            <w:pPr>
              <w:spacing w:before="60" w:after="60"/>
              <w:rPr>
                <w:rFonts w:ascii="Arial" w:eastAsia="MS PGothic" w:hAnsi="Arial" w:cs="Arial"/>
                <w:b/>
                <w:bCs/>
                <w:color w:val="1F497D" w:themeColor="text2"/>
                <w:lang w:val="en-US"/>
              </w:rPr>
            </w:pPr>
            <w:r w:rsidRPr="00AF2E83">
              <w:rPr>
                <w:rFonts w:ascii="Arial" w:eastAsia="MS PGothic" w:hAnsi="Arial" w:cs="Arial"/>
                <w:b/>
                <w:bCs/>
                <w:color w:val="1F497D" w:themeColor="text2"/>
                <w:lang w:val="en-US"/>
              </w:rPr>
              <w:t>Description and expected outcomes</w:t>
            </w:r>
          </w:p>
        </w:tc>
      </w:tr>
      <w:tr w:rsidR="00B17293" w:rsidRPr="00AF2E83">
        <w:tc>
          <w:tcPr>
            <w:tcW w:w="3085" w:type="dxa"/>
            <w:tcBorders>
              <w:right w:val="single" w:sz="4" w:space="0" w:color="auto"/>
            </w:tcBorders>
          </w:tcPr>
          <w:p w:rsidR="00B17293" w:rsidRPr="00AF2E83" w:rsidRDefault="00B17293" w:rsidP="00AA6B97">
            <w:pPr>
              <w:pStyle w:val="BlueBold"/>
              <w:keepLines/>
              <w:suppressAutoHyphens/>
              <w:spacing w:before="0" w:beforeAutospacing="0" w:after="0" w:afterAutospacing="0"/>
              <w:rPr>
                <w:rFonts w:asciiTheme="minorBidi" w:hAnsiTheme="minorBidi" w:cstheme="minorBidi"/>
                <w:b w:val="0"/>
                <w:caps w:val="0"/>
                <w:color w:val="auto"/>
                <w:sz w:val="22"/>
                <w:szCs w:val="22"/>
                <w:lang w:val="en-US"/>
              </w:rPr>
            </w:pPr>
            <w:r w:rsidRPr="00AF2E83">
              <w:rPr>
                <w:rFonts w:eastAsia="SimSun" w:cs="Arial"/>
                <w:b w:val="0"/>
                <w:bCs/>
                <w:color w:val="auto"/>
                <w:sz w:val="22"/>
                <w:szCs w:val="22"/>
              </w:rPr>
              <w:t>E</w:t>
            </w:r>
            <w:r w:rsidRPr="00AF2E83">
              <w:rPr>
                <w:rFonts w:eastAsia="SimSun" w:cs="Arial"/>
                <w:b w:val="0"/>
                <w:bCs/>
                <w:caps w:val="0"/>
                <w:color w:val="auto"/>
                <w:sz w:val="22"/>
                <w:szCs w:val="22"/>
              </w:rPr>
              <w:t>vidence synthesis for best practice health care decision making</w:t>
            </w:r>
            <w:r w:rsidRPr="00AF2E83">
              <w:rPr>
                <w:rFonts w:asciiTheme="minorBidi" w:hAnsiTheme="minorBidi" w:cstheme="minorBidi"/>
                <w:b w:val="0"/>
                <w:caps w:val="0"/>
                <w:color w:val="auto"/>
                <w:sz w:val="22"/>
                <w:szCs w:val="22"/>
                <w:lang w:val="en-US"/>
              </w:rPr>
              <w:t xml:space="preserve"> </w:t>
            </w:r>
          </w:p>
          <w:p w:rsidR="00B17293" w:rsidRPr="00AF2E83" w:rsidRDefault="00B17293" w:rsidP="00AA6B97">
            <w:pPr>
              <w:spacing w:before="60" w:after="60"/>
              <w:rPr>
                <w:rFonts w:ascii="Arial" w:hAnsi="Arial" w:cs="Arial"/>
                <w:bCs/>
              </w:rPr>
            </w:pPr>
          </w:p>
        </w:tc>
        <w:tc>
          <w:tcPr>
            <w:tcW w:w="6095" w:type="dxa"/>
          </w:tcPr>
          <w:p w:rsidR="00B17293" w:rsidRPr="00AF2E83" w:rsidRDefault="00B17293" w:rsidP="00AA6B97">
            <w:pPr>
              <w:spacing w:before="60" w:after="60"/>
              <w:rPr>
                <w:rFonts w:ascii="Arial" w:hAnsi="Arial" w:cs="Arial"/>
                <w:bCs/>
              </w:rPr>
            </w:pPr>
            <w:r w:rsidRPr="00AF2E83">
              <w:rPr>
                <w:rFonts w:ascii="Arial" w:hAnsi="Arial" w:cs="Arial"/>
                <w:bCs/>
              </w:rPr>
              <w:t xml:space="preserve">Building on standard narrative literature </w:t>
            </w:r>
            <w:proofErr w:type="gramStart"/>
            <w:r w:rsidRPr="00AF2E83">
              <w:rPr>
                <w:rFonts w:ascii="Arial" w:hAnsi="Arial" w:cs="Arial"/>
                <w:bCs/>
              </w:rPr>
              <w:t>review  technique</w:t>
            </w:r>
            <w:proofErr w:type="gramEnd"/>
            <w:r w:rsidRPr="00AF2E83">
              <w:rPr>
                <w:rFonts w:ascii="Arial" w:hAnsi="Arial" w:cs="Arial"/>
                <w:bCs/>
              </w:rPr>
              <w:t>, this course develops evidence synthesis techniques</w:t>
            </w:r>
            <w:r>
              <w:rPr>
                <w:rFonts w:ascii="Arial" w:hAnsi="Arial" w:cs="Arial"/>
                <w:bCs/>
              </w:rPr>
              <w:t>.</w:t>
            </w:r>
          </w:p>
        </w:tc>
      </w:tr>
      <w:tr w:rsidR="00B17293" w:rsidRPr="00AF2E83">
        <w:tc>
          <w:tcPr>
            <w:tcW w:w="3085" w:type="dxa"/>
            <w:tcBorders>
              <w:right w:val="single" w:sz="4" w:space="0" w:color="auto"/>
            </w:tcBorders>
          </w:tcPr>
          <w:p w:rsidR="00B17293" w:rsidRPr="00AF2E83" w:rsidRDefault="00B17293" w:rsidP="00AA6B97">
            <w:pPr>
              <w:spacing w:before="60" w:after="60"/>
              <w:rPr>
                <w:rFonts w:ascii="Arial" w:hAnsi="Arial" w:cs="Arial"/>
                <w:bCs/>
              </w:rPr>
            </w:pPr>
            <w:r w:rsidRPr="00AF2E83">
              <w:rPr>
                <w:rFonts w:asciiTheme="minorBidi" w:hAnsiTheme="minorBidi"/>
                <w:bCs/>
                <w:lang w:val="en-US"/>
              </w:rPr>
              <w:t xml:space="preserve">Evidence Translation for Health Care Practice </w:t>
            </w:r>
          </w:p>
        </w:tc>
        <w:tc>
          <w:tcPr>
            <w:tcW w:w="6095" w:type="dxa"/>
          </w:tcPr>
          <w:p w:rsidR="00B17293" w:rsidRPr="00AF2E83" w:rsidRDefault="00B17293" w:rsidP="00AA6B97">
            <w:pPr>
              <w:spacing w:before="60" w:after="60"/>
              <w:rPr>
                <w:rFonts w:ascii="Arial" w:hAnsi="Arial" w:cs="Arial"/>
                <w:bCs/>
              </w:rPr>
            </w:pPr>
            <w:r w:rsidRPr="00AF2E83">
              <w:rPr>
                <w:rFonts w:ascii="Arial" w:hAnsi="Arial" w:cs="Arial"/>
                <w:bCs/>
              </w:rPr>
              <w:t>This course will enable students to build evidence summaries to inform clinical practice change.</w:t>
            </w:r>
          </w:p>
        </w:tc>
      </w:tr>
      <w:tr w:rsidR="00B17293" w:rsidRPr="00AF2E83">
        <w:tc>
          <w:tcPr>
            <w:tcW w:w="3085" w:type="dxa"/>
            <w:tcBorders>
              <w:right w:val="single" w:sz="4" w:space="0" w:color="auto"/>
            </w:tcBorders>
          </w:tcPr>
          <w:p w:rsidR="00B17293" w:rsidRPr="00AF2E83" w:rsidRDefault="00B17293" w:rsidP="00AA6B97">
            <w:pPr>
              <w:spacing w:before="60" w:after="60"/>
              <w:rPr>
                <w:rFonts w:ascii="Arial" w:hAnsi="Arial" w:cs="Arial"/>
                <w:bCs/>
              </w:rPr>
            </w:pPr>
            <w:r w:rsidRPr="00AF2E83">
              <w:rPr>
                <w:rFonts w:ascii="Arial" w:eastAsia="SimSun" w:hAnsi="Arial" w:cs="Arial"/>
              </w:rPr>
              <w:t>Academic Nursing and Midwifery Career Development Program</w:t>
            </w:r>
            <w:r w:rsidRPr="00AF2E83">
              <w:rPr>
                <w:rFonts w:ascii="Arial" w:hAnsi="Arial" w:cs="Arial"/>
                <w:bCs/>
              </w:rPr>
              <w:t xml:space="preserve"> </w:t>
            </w:r>
          </w:p>
        </w:tc>
        <w:tc>
          <w:tcPr>
            <w:tcW w:w="6095" w:type="dxa"/>
          </w:tcPr>
          <w:p w:rsidR="00B17293" w:rsidRPr="00AF2E83" w:rsidRDefault="00B17293" w:rsidP="00AA6B97">
            <w:pPr>
              <w:spacing w:before="60" w:after="60"/>
              <w:rPr>
                <w:rFonts w:ascii="Arial" w:hAnsi="Arial" w:cs="Arial"/>
                <w:bCs/>
              </w:rPr>
            </w:pPr>
            <w:r w:rsidRPr="00AF2E83">
              <w:rPr>
                <w:rFonts w:asciiTheme="minorBidi" w:eastAsia="Times New Roman" w:hAnsiTheme="minorBidi"/>
                <w:kern w:val="28"/>
                <w:lang w:val="en-US"/>
              </w:rPr>
              <w:t xml:space="preserve">The purpose of this program is to develop skill in tutoring, demonstrating lecturing, clinical teaching and </w:t>
            </w:r>
            <w:proofErr w:type="gramStart"/>
            <w:r w:rsidRPr="00AF2E83">
              <w:rPr>
                <w:rFonts w:asciiTheme="minorBidi" w:eastAsia="Times New Roman" w:hAnsiTheme="minorBidi"/>
                <w:kern w:val="28"/>
                <w:lang w:val="en-US"/>
              </w:rPr>
              <w:t xml:space="preserve">assessment  </w:t>
            </w:r>
            <w:proofErr w:type="gramEnd"/>
          </w:p>
        </w:tc>
      </w:tr>
      <w:tr w:rsidR="00B17293" w:rsidRPr="00AF2E83">
        <w:tc>
          <w:tcPr>
            <w:tcW w:w="3085" w:type="dxa"/>
            <w:tcBorders>
              <w:right w:val="single" w:sz="4" w:space="0" w:color="auto"/>
            </w:tcBorders>
          </w:tcPr>
          <w:p w:rsidR="00B17293" w:rsidRPr="00AF2E83" w:rsidRDefault="00B17293" w:rsidP="00AA6B97">
            <w:pPr>
              <w:spacing w:before="60" w:after="60"/>
              <w:rPr>
                <w:rFonts w:ascii="Arial" w:hAnsi="Arial" w:cs="Arial"/>
                <w:bCs/>
              </w:rPr>
            </w:pPr>
            <w:r w:rsidRPr="00AF2E83">
              <w:rPr>
                <w:rFonts w:ascii="Tahoma" w:hAnsi="Tahoma" w:cs="Tahoma"/>
                <w:color w:val="222222"/>
                <w:shd w:val="clear" w:color="auto" w:fill="FFFFFF"/>
              </w:rPr>
              <w:t>Communicating Research Goals and Outcomes with Impact</w:t>
            </w:r>
          </w:p>
        </w:tc>
        <w:tc>
          <w:tcPr>
            <w:tcW w:w="6095" w:type="dxa"/>
          </w:tcPr>
          <w:p w:rsidR="00B17293" w:rsidRPr="00AF2E83" w:rsidRDefault="00B17293" w:rsidP="00AA6B97">
            <w:pPr>
              <w:spacing w:before="60" w:after="60"/>
              <w:rPr>
                <w:rFonts w:ascii="Arial" w:hAnsi="Arial" w:cs="Arial"/>
                <w:bCs/>
              </w:rPr>
            </w:pPr>
            <w:r w:rsidRPr="00AF2E83">
              <w:rPr>
                <w:rFonts w:ascii="Arial" w:hAnsi="Arial" w:cs="Arial"/>
                <w:bCs/>
              </w:rPr>
              <w:t>This program will utilise peer and academic support forums to foster communication skills in the communication of research to a range of audiences</w:t>
            </w:r>
            <w:r>
              <w:rPr>
                <w:rFonts w:ascii="Arial" w:hAnsi="Arial" w:cs="Arial"/>
                <w:bCs/>
              </w:rPr>
              <w:t>.</w:t>
            </w:r>
            <w:r w:rsidRPr="00AF2E83">
              <w:rPr>
                <w:rFonts w:ascii="Arial" w:hAnsi="Arial" w:cs="Arial"/>
                <w:bCs/>
              </w:rPr>
              <w:t xml:space="preserve"> </w:t>
            </w:r>
          </w:p>
        </w:tc>
      </w:tr>
    </w:tbl>
    <w:p w:rsidR="00B17293" w:rsidRDefault="00B17293"/>
    <w:p w:rsidR="00F7725D" w:rsidRDefault="00F7725D" w:rsidP="00F97504">
      <w:pPr>
        <w:widowControl w:val="0"/>
        <w:spacing w:after="180" w:line="271" w:lineRule="auto"/>
        <w:ind w:left="360"/>
        <w:jc w:val="both"/>
        <w:rPr>
          <w:rFonts w:ascii="Arial" w:eastAsia="SimSun" w:hAnsi="Arial" w:cs="Arial"/>
          <w:color w:val="000000"/>
          <w:kern w:val="28"/>
          <w:lang w:val="en-US"/>
        </w:rPr>
        <w:sectPr w:rsidR="00F7725D">
          <w:pgSz w:w="11900" w:h="16840"/>
          <w:pgMar w:top="1440" w:right="1440" w:bottom="1440" w:left="1440" w:header="709" w:footer="709" w:gutter="0"/>
          <w:cols w:space="708"/>
          <w:docGrid w:linePitch="360"/>
        </w:sectPr>
      </w:pPr>
    </w:p>
    <w:p w:rsidR="00F7725D" w:rsidRPr="00EB3D63" w:rsidRDefault="00F7725D" w:rsidP="00F7725D">
      <w:pPr>
        <w:pStyle w:val="Heading1"/>
        <w:spacing w:after="0"/>
        <w:jc w:val="center"/>
        <w:rPr>
          <w:rFonts w:cs="Arial"/>
          <w:color w:val="17365D"/>
          <w:sz w:val="28"/>
          <w:szCs w:val="28"/>
        </w:rPr>
      </w:pPr>
      <w:r w:rsidRPr="00C85994">
        <w:rPr>
          <w:rFonts w:cs="Arial"/>
          <w:color w:val="17365D"/>
          <w:sz w:val="28"/>
          <w:szCs w:val="28"/>
        </w:rPr>
        <w:t xml:space="preserve">PhD PROGRAM </w:t>
      </w:r>
    </w:p>
    <w:p w:rsidR="00F7725D" w:rsidRDefault="00F7725D" w:rsidP="00E629A5">
      <w:pPr>
        <w:spacing w:before="240" w:after="0" w:line="240" w:lineRule="auto"/>
        <w:jc w:val="center"/>
        <w:rPr>
          <w:rFonts w:ascii="Arial" w:hAnsi="Arial" w:cs="Arial"/>
          <w:b/>
          <w:sz w:val="24"/>
          <w:szCs w:val="24"/>
        </w:rPr>
      </w:pPr>
      <w:r w:rsidRPr="00EB3D63">
        <w:rPr>
          <w:rFonts w:ascii="Arial" w:hAnsi="Arial" w:cs="Arial"/>
          <w:b/>
          <w:sz w:val="24"/>
          <w:szCs w:val="24"/>
        </w:rPr>
        <w:t>Primary Health Care</w:t>
      </w:r>
    </w:p>
    <w:p w:rsidR="00F7725D" w:rsidRPr="00EB3D63" w:rsidRDefault="00F7725D" w:rsidP="00AA6B97">
      <w:pPr>
        <w:spacing w:after="240" w:line="240" w:lineRule="auto"/>
        <w:jc w:val="center"/>
        <w:rPr>
          <w:b/>
        </w:rPr>
      </w:pPr>
      <w:r>
        <w:rPr>
          <w:rFonts w:ascii="Arial" w:hAnsi="Arial" w:cs="Arial"/>
          <w:b/>
          <w:sz w:val="24"/>
          <w:szCs w:val="24"/>
        </w:rPr>
        <w:t>Program Director: Prof. Colette Browning</w:t>
      </w:r>
      <w:r w:rsidR="00BE79AD">
        <w:rPr>
          <w:rFonts w:ascii="Arial" w:hAnsi="Arial" w:cs="Arial"/>
          <w:b/>
          <w:sz w:val="24"/>
          <w:szCs w:val="24"/>
        </w:rPr>
        <w:t xml:space="preserve"> and </w:t>
      </w:r>
      <w:proofErr w:type="spellStart"/>
      <w:r w:rsidR="00BE79AD">
        <w:rPr>
          <w:rFonts w:ascii="Arial" w:hAnsi="Arial" w:cs="Arial"/>
          <w:b/>
          <w:sz w:val="24"/>
          <w:szCs w:val="24"/>
        </w:rPr>
        <w:t>A.Prof</w:t>
      </w:r>
      <w:proofErr w:type="spellEnd"/>
      <w:r w:rsidR="00BE79AD">
        <w:rPr>
          <w:rFonts w:ascii="Arial" w:hAnsi="Arial" w:cs="Arial"/>
          <w:b/>
          <w:sz w:val="24"/>
          <w:szCs w:val="24"/>
        </w:rPr>
        <w:t xml:space="preserve"> Jan Cole</w:t>
      </w:r>
    </w:p>
    <w:p w:rsidR="00F7725D" w:rsidRDefault="00F7725D" w:rsidP="00E629A5">
      <w:pPr>
        <w:spacing w:before="360" w:after="0"/>
        <w:jc w:val="both"/>
        <w:rPr>
          <w:rFonts w:ascii="Arial" w:hAnsi="Arial" w:cs="Arial"/>
          <w:sz w:val="24"/>
          <w:szCs w:val="24"/>
        </w:rPr>
      </w:pPr>
      <w:r w:rsidRPr="007340A9">
        <w:rPr>
          <w:rFonts w:ascii="Arial" w:hAnsi="Arial" w:cs="Arial"/>
          <w:sz w:val="24"/>
          <w:szCs w:val="24"/>
        </w:rPr>
        <w:t>Within the Faculty of Medicine, Nursing and Health Sciences</w:t>
      </w:r>
      <w:r>
        <w:rPr>
          <w:rFonts w:ascii="Arial" w:hAnsi="Arial" w:cs="Arial"/>
          <w:sz w:val="24"/>
          <w:szCs w:val="24"/>
        </w:rPr>
        <w:t xml:space="preserve"> many of the students who </w:t>
      </w:r>
      <w:r w:rsidRPr="00FA6030">
        <w:rPr>
          <w:rFonts w:ascii="Arial" w:hAnsi="Arial" w:cs="Arial"/>
          <w:sz w:val="24"/>
          <w:szCs w:val="24"/>
        </w:rPr>
        <w:t>undertake</w:t>
      </w:r>
      <w:r>
        <w:rPr>
          <w:rFonts w:ascii="Arial" w:hAnsi="Arial" w:cs="Arial"/>
          <w:sz w:val="24"/>
          <w:szCs w:val="24"/>
        </w:rPr>
        <w:t xml:space="preserve"> a doctorate by research in the Primary Health Care, Rural Health, Social Work and Radiology and Imaging are already have a vocation and professional qualification in their discipline and are undertaking PhDs to develop their research skills and have a direct impact on the quality of healthcare in the areas in which they work. Having a PhD training program that encompasses formal research training opportunities would be very attractive to heath care professionals looking to further their careers.  </w:t>
      </w:r>
      <w:r w:rsidRPr="007340A9">
        <w:rPr>
          <w:rFonts w:ascii="Arial" w:hAnsi="Arial" w:cs="Arial"/>
          <w:sz w:val="24"/>
          <w:szCs w:val="24"/>
        </w:rPr>
        <w:t xml:space="preserve">It is proposed that training for students who undertake HDR research in this discipline area is composed of </w:t>
      </w:r>
      <w:r>
        <w:rPr>
          <w:rFonts w:ascii="Arial" w:hAnsi="Arial" w:cs="Arial"/>
          <w:sz w:val="24"/>
          <w:szCs w:val="24"/>
        </w:rPr>
        <w:t>modules and training options that will allow students to gain these research skills in the context of their discipline areas. As these students are already in the workforce, many undertake their PhDs in a part-time capacity, these training options would need to include off-campus or online options such as podcast/web-based and/or videoconference activities.</w:t>
      </w:r>
    </w:p>
    <w:p w:rsidR="00F7725D" w:rsidRDefault="00F7725D" w:rsidP="00F7725D">
      <w:pPr>
        <w:spacing w:after="0"/>
        <w:jc w:val="both"/>
        <w:rPr>
          <w:rFonts w:ascii="Arial" w:hAnsi="Arial" w:cs="Arial"/>
          <w:sz w:val="24"/>
          <w:szCs w:val="24"/>
        </w:rPr>
      </w:pPr>
    </w:p>
    <w:p w:rsidR="00F7725D" w:rsidRPr="00F7725D" w:rsidRDefault="00F7725D" w:rsidP="00F7725D">
      <w:r>
        <w:rPr>
          <w:rFonts w:ascii="Arial" w:hAnsi="Arial" w:cs="Arial"/>
          <w:sz w:val="24"/>
          <w:szCs w:val="24"/>
        </w:rPr>
        <w:t>Program features 120 hrs of training (80 hrs – MIGR, 40 hrs –Primary Health Care, Social Work, Rural Health Care).</w:t>
      </w:r>
    </w:p>
    <w:tbl>
      <w:tblPr>
        <w:tblStyle w:val="TableGrid"/>
        <w:tblW w:w="9180" w:type="dxa"/>
        <w:tblLayout w:type="fixed"/>
        <w:tblLook w:val="04A0"/>
      </w:tblPr>
      <w:tblGrid>
        <w:gridCol w:w="3085"/>
        <w:gridCol w:w="6095"/>
      </w:tblGrid>
      <w:tr w:rsidR="00F7725D" w:rsidRPr="00C85994">
        <w:trPr>
          <w:trHeight w:val="722"/>
        </w:trPr>
        <w:tc>
          <w:tcPr>
            <w:tcW w:w="3085" w:type="dxa"/>
            <w:shd w:val="clear" w:color="auto" w:fill="FFFFFF" w:themeFill="background1"/>
          </w:tcPr>
          <w:p w:rsidR="00F7725D" w:rsidRPr="00C85994" w:rsidRDefault="00F7725D" w:rsidP="00AA6B97">
            <w:pPr>
              <w:spacing w:before="60" w:after="60"/>
              <w:rPr>
                <w:rFonts w:ascii="Arial" w:eastAsia="MS PGothic" w:hAnsi="Arial" w:cs="Arial"/>
                <w:b/>
                <w:bCs/>
                <w:color w:val="1F497D" w:themeColor="text2"/>
                <w:lang w:val="en-US"/>
              </w:rPr>
            </w:pPr>
            <w:r w:rsidRPr="00C85994">
              <w:rPr>
                <w:rFonts w:ascii="Arial" w:eastAsia="MS PGothic" w:hAnsi="Arial" w:cs="Arial"/>
                <w:b/>
                <w:bCs/>
                <w:color w:val="1F497D" w:themeColor="text2"/>
                <w:lang w:val="en-US"/>
              </w:rPr>
              <w:t>Activity Title</w:t>
            </w:r>
          </w:p>
          <w:p w:rsidR="00F7725D" w:rsidRPr="00C85994" w:rsidRDefault="00F7725D" w:rsidP="00AA6B97">
            <w:pPr>
              <w:spacing w:before="60" w:after="60"/>
              <w:rPr>
                <w:rFonts w:ascii="Arial" w:eastAsia="MS PGothic" w:hAnsi="Arial" w:cs="Arial"/>
                <w:b/>
                <w:bCs/>
                <w:color w:val="1F497D" w:themeColor="text2"/>
                <w:lang w:val="en-US"/>
              </w:rPr>
            </w:pPr>
          </w:p>
        </w:tc>
        <w:tc>
          <w:tcPr>
            <w:tcW w:w="6095" w:type="dxa"/>
            <w:tcBorders>
              <w:left w:val="single" w:sz="4" w:space="0" w:color="auto"/>
            </w:tcBorders>
            <w:shd w:val="clear" w:color="auto" w:fill="FFFFFF" w:themeFill="background1"/>
          </w:tcPr>
          <w:p w:rsidR="00F7725D" w:rsidRPr="00C85994" w:rsidRDefault="00F7725D" w:rsidP="00AA6B97">
            <w:pPr>
              <w:spacing w:before="60" w:after="60"/>
              <w:rPr>
                <w:rFonts w:ascii="Arial" w:eastAsia="MS PGothic" w:hAnsi="Arial" w:cs="Arial"/>
                <w:b/>
                <w:bCs/>
                <w:color w:val="1F497D" w:themeColor="text2"/>
                <w:lang w:val="en-US"/>
              </w:rPr>
            </w:pPr>
            <w:r w:rsidRPr="00C85994">
              <w:rPr>
                <w:rFonts w:ascii="Arial" w:eastAsia="MS PGothic" w:hAnsi="Arial" w:cs="Arial"/>
                <w:b/>
                <w:bCs/>
                <w:color w:val="1F497D" w:themeColor="text2"/>
                <w:lang w:val="en-US"/>
              </w:rPr>
              <w:t>Description and expected outcomes</w:t>
            </w:r>
          </w:p>
        </w:tc>
      </w:tr>
      <w:tr w:rsidR="00F7725D" w:rsidRPr="00C85994">
        <w:tc>
          <w:tcPr>
            <w:tcW w:w="3085" w:type="dxa"/>
            <w:tcBorders>
              <w:right w:val="single" w:sz="4" w:space="0" w:color="auto"/>
            </w:tcBorders>
          </w:tcPr>
          <w:p w:rsidR="00F7725D" w:rsidRPr="00EB17E8" w:rsidRDefault="00F7725D" w:rsidP="00AA6B97">
            <w:pPr>
              <w:rPr>
                <w:rFonts w:ascii="Arial" w:hAnsi="Arial" w:cs="Arial"/>
                <w:bCs/>
                <w:color w:val="000000"/>
              </w:rPr>
            </w:pPr>
            <w:r w:rsidRPr="00EB17E8">
              <w:rPr>
                <w:rFonts w:ascii="Arial" w:hAnsi="Arial" w:cs="Arial"/>
                <w:bCs/>
                <w:color w:val="000000"/>
              </w:rPr>
              <w:t>Module 1: Systematic Reviews and Meta Analysis for Health Care Professionals and Researchers</w:t>
            </w:r>
          </w:p>
          <w:p w:rsidR="00F7725D" w:rsidRPr="00EB17E8" w:rsidRDefault="00F7725D" w:rsidP="00AA6B97">
            <w:pPr>
              <w:spacing w:before="60" w:after="60"/>
              <w:rPr>
                <w:rFonts w:ascii="Arial" w:hAnsi="Arial" w:cs="Arial"/>
                <w:bCs/>
              </w:rPr>
            </w:pPr>
          </w:p>
        </w:tc>
        <w:tc>
          <w:tcPr>
            <w:tcW w:w="6095" w:type="dxa"/>
          </w:tcPr>
          <w:p w:rsidR="00F7725D" w:rsidRPr="00EB17E8" w:rsidRDefault="00F7725D" w:rsidP="00AA6B97">
            <w:pPr>
              <w:spacing w:before="60" w:after="60"/>
              <w:rPr>
                <w:rFonts w:ascii="Arial" w:hAnsi="Arial" w:cs="Arial"/>
                <w:bCs/>
              </w:rPr>
            </w:pPr>
            <w:r w:rsidRPr="00EB17E8">
              <w:rPr>
                <w:rStyle w:val="PageNumber"/>
                <w:rFonts w:ascii="Arial" w:hAnsi="Arial" w:cs="Arial"/>
              </w:rPr>
              <w:t>This module focuses on systematic and Cochrane reviews and meta analysis.  On completion of the module students should be able to: explain the difference between systematic reviews, Cochrane reviews and meta analysis; develop a research question to be answered by a review; develop the methodology for literature collating and reporting and data analysis; and the process of conducting a meta analysis;</w:t>
            </w:r>
          </w:p>
          <w:p w:rsidR="00F7725D" w:rsidRPr="00EB17E8" w:rsidRDefault="00F7725D" w:rsidP="00AA6B97">
            <w:pPr>
              <w:spacing w:before="60" w:after="60"/>
              <w:rPr>
                <w:rFonts w:ascii="Arial" w:hAnsi="Arial" w:cs="Arial"/>
                <w:bCs/>
              </w:rPr>
            </w:pPr>
          </w:p>
          <w:p w:rsidR="00F7725D" w:rsidRPr="00EB17E8" w:rsidRDefault="00F7725D" w:rsidP="00AA6B97">
            <w:pPr>
              <w:spacing w:before="60" w:after="60"/>
              <w:rPr>
                <w:rFonts w:ascii="Arial" w:hAnsi="Arial" w:cs="Arial"/>
                <w:bCs/>
              </w:rPr>
            </w:pPr>
          </w:p>
        </w:tc>
      </w:tr>
      <w:tr w:rsidR="00F7725D" w:rsidRPr="00C85994">
        <w:tc>
          <w:tcPr>
            <w:tcW w:w="3085" w:type="dxa"/>
            <w:tcBorders>
              <w:right w:val="single" w:sz="4" w:space="0" w:color="auto"/>
            </w:tcBorders>
          </w:tcPr>
          <w:p w:rsidR="00F7725D" w:rsidRPr="00EB17E8" w:rsidRDefault="00F7725D" w:rsidP="00AA6B97">
            <w:pPr>
              <w:rPr>
                <w:rStyle w:val="PageNumber"/>
              </w:rPr>
            </w:pPr>
            <w:r w:rsidRPr="00EB17E8">
              <w:rPr>
                <w:rStyle w:val="PageNumber"/>
                <w:rFonts w:ascii="Arial" w:hAnsi="Arial" w:cs="Arial"/>
              </w:rPr>
              <w:t>Module 2 Qualitative Methods in Primary Health Care</w:t>
            </w:r>
          </w:p>
          <w:p w:rsidR="00F7725D" w:rsidRPr="00EB17E8" w:rsidRDefault="00F7725D" w:rsidP="00AA6B97">
            <w:pPr>
              <w:spacing w:before="60" w:after="60"/>
              <w:rPr>
                <w:rFonts w:ascii="Arial" w:hAnsi="Arial" w:cs="Arial"/>
                <w:bCs/>
              </w:rPr>
            </w:pPr>
          </w:p>
        </w:tc>
        <w:tc>
          <w:tcPr>
            <w:tcW w:w="6095" w:type="dxa"/>
          </w:tcPr>
          <w:p w:rsidR="00F7725D" w:rsidRPr="00EB17E8" w:rsidRDefault="00F7725D" w:rsidP="00AA6B97">
            <w:pPr>
              <w:spacing w:before="60" w:after="60"/>
              <w:rPr>
                <w:rFonts w:ascii="Arial" w:hAnsi="Arial" w:cs="Arial"/>
                <w:bCs/>
              </w:rPr>
            </w:pPr>
            <w:r w:rsidRPr="00EB17E8">
              <w:rPr>
                <w:rStyle w:val="PageNumber"/>
                <w:rFonts w:ascii="Arial" w:hAnsi="Arial" w:cs="Arial"/>
              </w:rPr>
              <w:t>This module introduces the student to the major methods and approaches in conducting qualitative research in the primary care context. Data analytic methods are included.</w:t>
            </w:r>
          </w:p>
          <w:p w:rsidR="00F7725D" w:rsidRPr="00EB17E8" w:rsidRDefault="00F7725D" w:rsidP="00AA6B97">
            <w:pPr>
              <w:spacing w:before="60" w:after="60"/>
              <w:rPr>
                <w:rFonts w:ascii="Arial" w:hAnsi="Arial" w:cs="Arial"/>
                <w:bCs/>
              </w:rPr>
            </w:pPr>
          </w:p>
        </w:tc>
      </w:tr>
      <w:tr w:rsidR="00F7725D" w:rsidRPr="00C85994">
        <w:tc>
          <w:tcPr>
            <w:tcW w:w="3085" w:type="dxa"/>
            <w:tcBorders>
              <w:right w:val="single" w:sz="4" w:space="0" w:color="auto"/>
            </w:tcBorders>
          </w:tcPr>
          <w:p w:rsidR="00F7725D" w:rsidRPr="00EB17E8" w:rsidRDefault="00F7725D" w:rsidP="00AA6B97">
            <w:pPr>
              <w:rPr>
                <w:rStyle w:val="PageNumber"/>
              </w:rPr>
            </w:pPr>
            <w:r w:rsidRPr="00EB17E8">
              <w:rPr>
                <w:rStyle w:val="PageNumber"/>
                <w:rFonts w:ascii="Arial" w:hAnsi="Arial" w:cs="Arial"/>
              </w:rPr>
              <w:t xml:space="preserve">Module 3 SPSS Data analysis for Primary Health Care Researchers </w:t>
            </w:r>
          </w:p>
          <w:p w:rsidR="00F7725D" w:rsidRPr="00EB17E8" w:rsidRDefault="00F7725D" w:rsidP="00AA6B97">
            <w:pPr>
              <w:spacing w:before="60" w:after="60"/>
              <w:rPr>
                <w:rFonts w:ascii="Arial" w:hAnsi="Arial" w:cs="Arial"/>
                <w:bCs/>
              </w:rPr>
            </w:pPr>
          </w:p>
        </w:tc>
        <w:tc>
          <w:tcPr>
            <w:tcW w:w="6095" w:type="dxa"/>
          </w:tcPr>
          <w:p w:rsidR="00F7725D" w:rsidRPr="00EB17E8" w:rsidRDefault="00F7725D" w:rsidP="00AA6B97">
            <w:pPr>
              <w:spacing w:before="60" w:after="60"/>
              <w:rPr>
                <w:rFonts w:ascii="Arial" w:hAnsi="Arial" w:cs="Arial"/>
                <w:bCs/>
              </w:rPr>
            </w:pPr>
            <w:r w:rsidRPr="00EB17E8">
              <w:rPr>
                <w:rStyle w:val="PageNumber"/>
                <w:rFonts w:ascii="Arial" w:hAnsi="Arial" w:cs="Arial"/>
              </w:rPr>
              <w:t>This module is a hands-on data analysis module. Descriptive statistics ANOVA and multivariate approaches will be included.</w:t>
            </w:r>
          </w:p>
          <w:p w:rsidR="00F7725D" w:rsidRPr="00EB17E8" w:rsidRDefault="00F7725D" w:rsidP="00AA6B97">
            <w:pPr>
              <w:spacing w:before="60" w:after="60"/>
              <w:rPr>
                <w:rFonts w:ascii="Arial" w:hAnsi="Arial" w:cs="Arial"/>
                <w:bCs/>
              </w:rPr>
            </w:pPr>
          </w:p>
        </w:tc>
      </w:tr>
      <w:tr w:rsidR="00F7725D" w:rsidRPr="00C85994">
        <w:tc>
          <w:tcPr>
            <w:tcW w:w="3085" w:type="dxa"/>
            <w:tcBorders>
              <w:right w:val="single" w:sz="4" w:space="0" w:color="auto"/>
            </w:tcBorders>
          </w:tcPr>
          <w:p w:rsidR="00F7725D" w:rsidRPr="00EB17E8" w:rsidRDefault="00F7725D" w:rsidP="00AA6B97">
            <w:pPr>
              <w:rPr>
                <w:rStyle w:val="PageNumber"/>
              </w:rPr>
            </w:pPr>
            <w:r w:rsidRPr="00EB17E8">
              <w:rPr>
                <w:rStyle w:val="PageNumber"/>
                <w:rFonts w:ascii="Arial" w:hAnsi="Arial" w:cs="Arial"/>
              </w:rPr>
              <w:t xml:space="preserve">Module 4 Measurement Scales in Primary Health Care </w:t>
            </w:r>
          </w:p>
          <w:p w:rsidR="00F7725D" w:rsidRPr="00EB17E8" w:rsidRDefault="00F7725D" w:rsidP="00AA6B97">
            <w:pPr>
              <w:spacing w:before="60" w:after="60"/>
              <w:rPr>
                <w:rFonts w:ascii="Arial" w:hAnsi="Arial" w:cs="Arial"/>
                <w:bCs/>
              </w:rPr>
            </w:pPr>
          </w:p>
        </w:tc>
        <w:tc>
          <w:tcPr>
            <w:tcW w:w="6095" w:type="dxa"/>
          </w:tcPr>
          <w:p w:rsidR="00F7725D" w:rsidRPr="005714C7" w:rsidRDefault="00F7725D" w:rsidP="00AA6B97">
            <w:pPr>
              <w:spacing w:before="60" w:after="60"/>
              <w:rPr>
                <w:rFonts w:ascii="Arial" w:hAnsi="Arial" w:cs="Arial"/>
                <w:bCs/>
              </w:rPr>
            </w:pPr>
            <w:r w:rsidRPr="005714C7">
              <w:rPr>
                <w:rFonts w:ascii="Arial" w:hAnsi="Arial" w:cs="Arial"/>
                <w:lang w:val="en-US"/>
              </w:rPr>
              <w:t>This module provides training in all aspects of the design, development and use of measurement scales, the selection of existing scales, scale and analysis. In addition the module includes outcome measurement.</w:t>
            </w:r>
          </w:p>
        </w:tc>
      </w:tr>
      <w:tr w:rsidR="00F7725D" w:rsidRPr="00C85994">
        <w:tc>
          <w:tcPr>
            <w:tcW w:w="3085" w:type="dxa"/>
            <w:tcBorders>
              <w:right w:val="single" w:sz="4" w:space="0" w:color="auto"/>
            </w:tcBorders>
          </w:tcPr>
          <w:p w:rsidR="00F7725D" w:rsidRPr="00EB17E8" w:rsidRDefault="00F7725D" w:rsidP="00AA6B97">
            <w:pPr>
              <w:rPr>
                <w:rStyle w:val="PageNumber"/>
              </w:rPr>
            </w:pPr>
            <w:r w:rsidRPr="00EB17E8">
              <w:rPr>
                <w:rStyle w:val="PageNumber"/>
                <w:rFonts w:ascii="Arial" w:hAnsi="Arial" w:cs="Arial"/>
              </w:rPr>
              <w:t>Module 5 Primary Care Research Issues</w:t>
            </w:r>
          </w:p>
          <w:p w:rsidR="00F7725D" w:rsidRPr="00EB17E8" w:rsidRDefault="00F7725D" w:rsidP="00AA6B97">
            <w:pPr>
              <w:rPr>
                <w:rStyle w:val="PageNumber"/>
              </w:rPr>
            </w:pPr>
          </w:p>
          <w:p w:rsidR="00F7725D" w:rsidRPr="00EB17E8" w:rsidRDefault="00F7725D" w:rsidP="00AA6B97">
            <w:pPr>
              <w:rPr>
                <w:rStyle w:val="PageNumber"/>
              </w:rPr>
            </w:pPr>
          </w:p>
        </w:tc>
        <w:tc>
          <w:tcPr>
            <w:tcW w:w="6095" w:type="dxa"/>
          </w:tcPr>
          <w:p w:rsidR="00F7725D" w:rsidRPr="005714C7" w:rsidRDefault="00F7725D" w:rsidP="00AA6B97">
            <w:pPr>
              <w:spacing w:before="60" w:after="60"/>
              <w:rPr>
                <w:rFonts w:ascii="Arial" w:hAnsi="Arial" w:cs="Arial"/>
                <w:bCs/>
              </w:rPr>
            </w:pPr>
            <w:r w:rsidRPr="005714C7">
              <w:rPr>
                <w:rStyle w:val="PageNumber"/>
                <w:rFonts w:ascii="Arial" w:hAnsi="Arial" w:cs="Arial"/>
              </w:rPr>
              <w:t xml:space="preserve">This module covers the challenges </w:t>
            </w:r>
            <w:r w:rsidRPr="005714C7">
              <w:rPr>
                <w:rFonts w:ascii="Arial" w:hAnsi="Arial" w:cs="Arial"/>
              </w:rPr>
              <w:t>of undertaking research in primary care settings and includes types of research conducted in primary care settings, complex interventions, recruitment and statistical issues, and data resources.</w:t>
            </w:r>
          </w:p>
        </w:tc>
      </w:tr>
      <w:tr w:rsidR="00F7725D" w:rsidRPr="00C85994">
        <w:tc>
          <w:tcPr>
            <w:tcW w:w="3085" w:type="dxa"/>
            <w:tcBorders>
              <w:right w:val="single" w:sz="4" w:space="0" w:color="auto"/>
            </w:tcBorders>
          </w:tcPr>
          <w:p w:rsidR="00F7725D" w:rsidRPr="00EB17E8" w:rsidRDefault="00F7725D" w:rsidP="00AA6B97">
            <w:pPr>
              <w:rPr>
                <w:rStyle w:val="PageNumber"/>
              </w:rPr>
            </w:pPr>
            <w:r w:rsidRPr="00EB17E8">
              <w:rPr>
                <w:rFonts w:ascii="Arial" w:hAnsi="Arial" w:cs="Arial"/>
                <w:bCs/>
                <w:color w:val="000000"/>
              </w:rPr>
              <w:t xml:space="preserve">Current Research Topics in Primary Health Care </w:t>
            </w:r>
          </w:p>
        </w:tc>
        <w:tc>
          <w:tcPr>
            <w:tcW w:w="6095" w:type="dxa"/>
          </w:tcPr>
          <w:p w:rsidR="00F7725D" w:rsidRPr="005714C7" w:rsidRDefault="00F7725D" w:rsidP="00AA6B97">
            <w:pPr>
              <w:spacing w:before="60" w:after="60"/>
              <w:rPr>
                <w:rFonts w:ascii="Arial" w:hAnsi="Arial" w:cs="Arial"/>
                <w:bCs/>
              </w:rPr>
            </w:pPr>
            <w:r w:rsidRPr="005714C7">
              <w:rPr>
                <w:rFonts w:ascii="Arial" w:eastAsia="SimSun" w:hAnsi="Arial" w:cs="Arial"/>
                <w:color w:val="000000"/>
                <w:kern w:val="28"/>
                <w:lang w:val="en-US"/>
              </w:rPr>
              <w:t xml:space="preserve">Research seminars are designed to enhance the breadth of HDR student knowledge in Primary Health Care, in addition to improving student appreciation of current issues, and their understanding of the approaches used by successful scientists to investigate these issues. It is expected that students will develop a broader knowledge of their discipline area. </w:t>
            </w:r>
          </w:p>
          <w:p w:rsidR="00F7725D" w:rsidRPr="005714C7" w:rsidRDefault="00F7725D" w:rsidP="00AA6B97">
            <w:pPr>
              <w:spacing w:before="60" w:after="60"/>
              <w:rPr>
                <w:rStyle w:val="PageNumber"/>
              </w:rPr>
            </w:pPr>
          </w:p>
        </w:tc>
      </w:tr>
      <w:tr w:rsidR="00F7725D" w:rsidRPr="00C85994">
        <w:tc>
          <w:tcPr>
            <w:tcW w:w="3085" w:type="dxa"/>
            <w:tcBorders>
              <w:right w:val="single" w:sz="4" w:space="0" w:color="auto"/>
            </w:tcBorders>
          </w:tcPr>
          <w:p w:rsidR="00F7725D" w:rsidRPr="00EB17E8" w:rsidRDefault="00F7725D" w:rsidP="00AA6B97">
            <w:pPr>
              <w:rPr>
                <w:rFonts w:ascii="Arial" w:eastAsia="Times New Roman" w:hAnsi="Arial" w:cs="Arial"/>
                <w:color w:val="000000"/>
              </w:rPr>
            </w:pPr>
            <w:r w:rsidRPr="00EB17E8">
              <w:rPr>
                <w:rFonts w:ascii="Arial" w:hAnsi="Arial" w:cs="Arial"/>
                <w:bCs/>
                <w:color w:val="000000"/>
              </w:rPr>
              <w:t xml:space="preserve">Social Work HDR Conference. </w:t>
            </w:r>
          </w:p>
        </w:tc>
        <w:tc>
          <w:tcPr>
            <w:tcW w:w="6095" w:type="dxa"/>
          </w:tcPr>
          <w:p w:rsidR="00F7725D" w:rsidRPr="005714C7" w:rsidRDefault="00F7725D" w:rsidP="00AA6B97">
            <w:pPr>
              <w:spacing w:before="60" w:after="60"/>
              <w:rPr>
                <w:rFonts w:ascii="Arial" w:hAnsi="Arial" w:cs="Arial"/>
                <w:bCs/>
              </w:rPr>
            </w:pPr>
            <w:r w:rsidRPr="005714C7">
              <w:rPr>
                <w:rFonts w:ascii="Arial" w:hAnsi="Arial" w:cs="Arial"/>
                <w:bCs/>
                <w:color w:val="000000"/>
              </w:rPr>
              <w:t xml:space="preserve">The Department of Social Work HDR conference consists of </w:t>
            </w:r>
            <w:r w:rsidRPr="005714C7">
              <w:rPr>
                <w:rFonts w:ascii="Arial" w:eastAsia="Times New Roman" w:hAnsi="Arial" w:cs="Arial"/>
                <w:color w:val="000000"/>
              </w:rPr>
              <w:t>lecture style academic presentations combined with small group workshop teaching, computer based analysis teaching, with students submitting written reports for assessment. All aspects of the research process are covered. For an example of this module please see the 2014 program - Appendix 1</w:t>
            </w:r>
          </w:p>
        </w:tc>
      </w:tr>
      <w:tr w:rsidR="00F7725D" w:rsidRPr="00C85994">
        <w:tc>
          <w:tcPr>
            <w:tcW w:w="3085" w:type="dxa"/>
            <w:tcBorders>
              <w:right w:val="single" w:sz="4" w:space="0" w:color="auto"/>
            </w:tcBorders>
          </w:tcPr>
          <w:p w:rsidR="00F7725D" w:rsidRPr="00EB17E8" w:rsidRDefault="00F7725D" w:rsidP="00AA6B97">
            <w:pPr>
              <w:spacing w:before="60" w:after="60"/>
              <w:rPr>
                <w:rFonts w:ascii="Arial" w:hAnsi="Arial" w:cs="Arial"/>
                <w:b/>
              </w:rPr>
            </w:pPr>
            <w:r w:rsidRPr="00EB17E8">
              <w:rPr>
                <w:rFonts w:ascii="Arial" w:hAnsi="Arial" w:cs="Arial"/>
              </w:rPr>
              <w:t xml:space="preserve">Short Courses in Rural and Indigenous Health </w:t>
            </w:r>
          </w:p>
        </w:tc>
        <w:tc>
          <w:tcPr>
            <w:tcW w:w="6095" w:type="dxa"/>
          </w:tcPr>
          <w:p w:rsidR="00F7725D" w:rsidRPr="005714C7" w:rsidRDefault="00F7725D" w:rsidP="00AA6B97">
            <w:pPr>
              <w:spacing w:before="60" w:after="60"/>
              <w:rPr>
                <w:rFonts w:ascii="Arial" w:hAnsi="Arial" w:cs="Arial"/>
                <w:bCs/>
              </w:rPr>
            </w:pPr>
            <w:r w:rsidRPr="005714C7">
              <w:rPr>
                <w:rFonts w:ascii="Arial" w:hAnsi="Arial" w:cs="Arial"/>
              </w:rPr>
              <w:t xml:space="preserve">Each session consists of 2 hours of face-to-face attendance with approximately 2 hours of preparation and </w:t>
            </w:r>
            <w:proofErr w:type="gramStart"/>
            <w:r w:rsidRPr="005714C7">
              <w:rPr>
                <w:rFonts w:ascii="Arial" w:hAnsi="Arial" w:cs="Arial"/>
              </w:rPr>
              <w:t>follow</w:t>
            </w:r>
            <w:proofErr w:type="gramEnd"/>
            <w:r w:rsidRPr="005714C7">
              <w:rPr>
                <w:rFonts w:ascii="Arial" w:hAnsi="Arial" w:cs="Arial"/>
              </w:rPr>
              <w:t xml:space="preserve"> up. Short course Include sessions in: evaluations and research; research without numbers; talking evidence; culturally sensitive research and evaluation; keys to literature; Ethics for everyone; systematic reviews and evidence; Stats without maths; survey design and development; on-line survey development; easy as results- charts, pie graphs and interview texts; writing for effect.</w:t>
            </w:r>
          </w:p>
        </w:tc>
      </w:tr>
      <w:tr w:rsidR="00F7725D" w:rsidRPr="00C85994">
        <w:tc>
          <w:tcPr>
            <w:tcW w:w="3085" w:type="dxa"/>
            <w:tcBorders>
              <w:right w:val="single" w:sz="4" w:space="0" w:color="auto"/>
            </w:tcBorders>
          </w:tcPr>
          <w:p w:rsidR="00F7725D" w:rsidRPr="00EB17E8" w:rsidRDefault="00F7725D" w:rsidP="00AA6B97">
            <w:pPr>
              <w:spacing w:before="60" w:after="60"/>
              <w:rPr>
                <w:rFonts w:ascii="Arial" w:hAnsi="Arial" w:cs="Arial"/>
                <w:b/>
              </w:rPr>
            </w:pPr>
            <w:r w:rsidRPr="00EB17E8">
              <w:rPr>
                <w:rFonts w:ascii="Arial" w:hAnsi="Arial" w:cs="Arial"/>
              </w:rPr>
              <w:t>Statistics and Data Analysis for Health Care Researchers in Rural and Indigenous Health</w:t>
            </w:r>
          </w:p>
        </w:tc>
        <w:tc>
          <w:tcPr>
            <w:tcW w:w="6095" w:type="dxa"/>
          </w:tcPr>
          <w:p w:rsidR="00F7725D" w:rsidRPr="005714C7" w:rsidRDefault="00F7725D" w:rsidP="00AA6B97">
            <w:pPr>
              <w:spacing w:before="60" w:after="60"/>
              <w:rPr>
                <w:rFonts w:ascii="Arial" w:hAnsi="Arial" w:cs="Arial"/>
                <w:bCs/>
              </w:rPr>
            </w:pPr>
            <w:r w:rsidRPr="005714C7">
              <w:rPr>
                <w:rFonts w:ascii="Arial" w:hAnsi="Arial" w:cs="Arial"/>
              </w:rPr>
              <w:t xml:space="preserve">Training includes presenting data in tables and graphs; descriptive statistics and/or basic thematic analysis; using a statistical software package (e.g. SPSS, Prism) and/or using </w:t>
            </w:r>
            <w:proofErr w:type="spellStart"/>
            <w:r w:rsidRPr="005714C7">
              <w:rPr>
                <w:rFonts w:ascii="Arial" w:hAnsi="Arial" w:cs="Arial"/>
              </w:rPr>
              <w:t>NVivo</w:t>
            </w:r>
            <w:proofErr w:type="spellEnd"/>
            <w:r w:rsidRPr="005714C7">
              <w:rPr>
                <w:rFonts w:ascii="Arial" w:hAnsi="Arial" w:cs="Arial"/>
              </w:rPr>
              <w:t xml:space="preserve"> or equivalent software package; demonstration of statistical analysis and/or comprehensive coding and thematic analysis</w:t>
            </w:r>
          </w:p>
        </w:tc>
      </w:tr>
      <w:tr w:rsidR="00F7725D" w:rsidRPr="00C85994">
        <w:tc>
          <w:tcPr>
            <w:tcW w:w="3085" w:type="dxa"/>
            <w:tcBorders>
              <w:right w:val="single" w:sz="4" w:space="0" w:color="auto"/>
            </w:tcBorders>
          </w:tcPr>
          <w:p w:rsidR="00F7725D" w:rsidRPr="00EB17E8" w:rsidRDefault="00F7725D" w:rsidP="00AA6B97">
            <w:pPr>
              <w:spacing w:before="60" w:after="60"/>
              <w:rPr>
                <w:rFonts w:ascii="Arial" w:hAnsi="Arial" w:cs="Arial"/>
                <w:b/>
              </w:rPr>
            </w:pPr>
            <w:r w:rsidRPr="00EB17E8">
              <w:rPr>
                <w:rFonts w:ascii="Arial" w:hAnsi="Arial" w:cs="Arial"/>
              </w:rPr>
              <w:t xml:space="preserve">Current Research Literature in Primary, Rural and Indigenous Health Care </w:t>
            </w:r>
          </w:p>
        </w:tc>
        <w:tc>
          <w:tcPr>
            <w:tcW w:w="6095" w:type="dxa"/>
          </w:tcPr>
          <w:p w:rsidR="00F7725D" w:rsidRPr="005714C7" w:rsidRDefault="00F7725D" w:rsidP="00AA6B97">
            <w:pPr>
              <w:spacing w:before="60" w:after="60"/>
              <w:rPr>
                <w:rFonts w:ascii="Arial" w:hAnsi="Arial" w:cs="Arial"/>
                <w:bCs/>
              </w:rPr>
            </w:pPr>
            <w:r w:rsidRPr="005714C7">
              <w:rPr>
                <w:rFonts w:ascii="Arial" w:eastAsia="SimSun" w:hAnsi="Arial" w:cs="Arial"/>
                <w:color w:val="000000"/>
                <w:kern w:val="28"/>
                <w:lang w:val="en-US"/>
              </w:rPr>
              <w:t xml:space="preserve">A critical aspect of productive research is the ability to read and understand published research papers. One of the best ways for PhD students to develop this skill is through participation </w:t>
            </w:r>
            <w:proofErr w:type="gramStart"/>
            <w:r w:rsidRPr="005714C7">
              <w:rPr>
                <w:rFonts w:ascii="Arial" w:eastAsia="SimSun" w:hAnsi="Arial" w:cs="Arial"/>
                <w:color w:val="000000"/>
                <w:kern w:val="28"/>
                <w:lang w:val="en-US"/>
              </w:rPr>
              <w:t>in group</w:t>
            </w:r>
            <w:proofErr w:type="gramEnd"/>
            <w:r w:rsidRPr="005714C7">
              <w:rPr>
                <w:rFonts w:ascii="Arial" w:eastAsia="SimSun" w:hAnsi="Arial" w:cs="Arial"/>
                <w:color w:val="000000"/>
                <w:kern w:val="28"/>
                <w:lang w:val="en-US"/>
              </w:rPr>
              <w:t xml:space="preserve"> discussions of published articles. In addition to broadening the students’ knowledge of a field, these discussions familiarize students with many types of scientific questions and methodological approaches and allow them to hone their skills at data interpretation and criticism.</w:t>
            </w:r>
          </w:p>
        </w:tc>
      </w:tr>
      <w:tr w:rsidR="00F7725D" w:rsidRPr="00C85994">
        <w:tc>
          <w:tcPr>
            <w:tcW w:w="3085" w:type="dxa"/>
            <w:tcBorders>
              <w:right w:val="single" w:sz="4" w:space="0" w:color="auto"/>
            </w:tcBorders>
          </w:tcPr>
          <w:p w:rsidR="00F7725D" w:rsidRPr="00EB17E8" w:rsidRDefault="00F7725D" w:rsidP="00AA6B97">
            <w:pPr>
              <w:spacing w:before="60" w:after="60"/>
              <w:rPr>
                <w:rFonts w:ascii="Arial" w:hAnsi="Arial" w:cs="Arial"/>
              </w:rPr>
            </w:pPr>
            <w:r w:rsidRPr="00EB17E8">
              <w:rPr>
                <w:rFonts w:ascii="Arial" w:hAnsi="Arial" w:cs="Arial"/>
              </w:rPr>
              <w:t xml:space="preserve">Annual Research </w:t>
            </w:r>
            <w:proofErr w:type="spellStart"/>
            <w:r w:rsidRPr="00EB17E8">
              <w:rPr>
                <w:rFonts w:ascii="Arial" w:hAnsi="Arial" w:cs="Arial"/>
              </w:rPr>
              <w:t>Bootcamp</w:t>
            </w:r>
            <w:proofErr w:type="spellEnd"/>
            <w:r w:rsidR="00EB17E8" w:rsidRPr="00EB17E8">
              <w:rPr>
                <w:rFonts w:ascii="Arial" w:hAnsi="Arial" w:cs="Arial"/>
              </w:rPr>
              <w:t xml:space="preserve"> –School of Rural Health</w:t>
            </w:r>
          </w:p>
        </w:tc>
        <w:tc>
          <w:tcPr>
            <w:tcW w:w="6095" w:type="dxa"/>
          </w:tcPr>
          <w:p w:rsidR="00F7725D" w:rsidRPr="005714C7" w:rsidRDefault="00F7725D" w:rsidP="00AA6B97">
            <w:pPr>
              <w:spacing w:before="60" w:after="60"/>
              <w:rPr>
                <w:rFonts w:ascii="Arial" w:hAnsi="Arial" w:cs="Arial"/>
                <w:bCs/>
              </w:rPr>
            </w:pPr>
            <w:r w:rsidRPr="005714C7">
              <w:rPr>
                <w:rFonts w:ascii="Arial" w:hAnsi="Arial" w:cs="Arial"/>
              </w:rPr>
              <w:t xml:space="preserve">Attended by both research staff and postgraduate students of the School.  The program involves student and staff research presentations, keynote speakers and capacity building activities. The 4-day </w:t>
            </w:r>
            <w:proofErr w:type="spellStart"/>
            <w:r w:rsidRPr="005714C7">
              <w:rPr>
                <w:rFonts w:ascii="Arial" w:hAnsi="Arial" w:cs="Arial"/>
              </w:rPr>
              <w:t>bootcamp</w:t>
            </w:r>
            <w:proofErr w:type="spellEnd"/>
            <w:r w:rsidRPr="005714C7">
              <w:rPr>
                <w:rFonts w:ascii="Arial" w:hAnsi="Arial" w:cs="Arial"/>
              </w:rPr>
              <w:t xml:space="preserve"> will be run in collaboration with other regional university campuses to promote networking. A shorter 1-day forum will be run in years where the </w:t>
            </w:r>
            <w:proofErr w:type="spellStart"/>
            <w:r w:rsidRPr="005714C7">
              <w:rPr>
                <w:rFonts w:ascii="Arial" w:hAnsi="Arial" w:cs="Arial"/>
              </w:rPr>
              <w:t>bootcamp</w:t>
            </w:r>
            <w:proofErr w:type="spellEnd"/>
            <w:r w:rsidRPr="005714C7">
              <w:rPr>
                <w:rFonts w:ascii="Arial" w:hAnsi="Arial" w:cs="Arial"/>
              </w:rPr>
              <w:t xml:space="preserve"> is not held.</w:t>
            </w:r>
          </w:p>
        </w:tc>
      </w:tr>
    </w:tbl>
    <w:p w:rsidR="00AA6B97" w:rsidRDefault="00AA6B97" w:rsidP="00F97504">
      <w:pPr>
        <w:widowControl w:val="0"/>
        <w:spacing w:after="180" w:line="271" w:lineRule="auto"/>
        <w:ind w:left="360"/>
        <w:jc w:val="both"/>
        <w:rPr>
          <w:rFonts w:ascii="Arial" w:eastAsia="SimSun" w:hAnsi="Arial" w:cs="Arial"/>
          <w:color w:val="000000"/>
          <w:kern w:val="28"/>
          <w:lang w:val="en-US"/>
        </w:rPr>
        <w:sectPr w:rsidR="00AA6B97">
          <w:pgSz w:w="11900" w:h="16840"/>
          <w:pgMar w:top="1440" w:right="1440" w:bottom="1440" w:left="1440" w:header="709" w:footer="709" w:gutter="0"/>
          <w:cols w:space="708"/>
          <w:docGrid w:linePitch="360"/>
        </w:sectPr>
      </w:pPr>
    </w:p>
    <w:p w:rsidR="00BE79AD" w:rsidRDefault="00AA6B97" w:rsidP="00BE79AD">
      <w:pPr>
        <w:pStyle w:val="Heading1"/>
        <w:spacing w:after="0"/>
        <w:jc w:val="center"/>
        <w:rPr>
          <w:rFonts w:cs="Arial"/>
          <w:color w:val="17365D"/>
          <w:sz w:val="28"/>
          <w:szCs w:val="28"/>
        </w:rPr>
      </w:pPr>
      <w:r w:rsidRPr="00C87ADB">
        <w:rPr>
          <w:rFonts w:cs="Arial"/>
          <w:color w:val="17365D"/>
          <w:sz w:val="28"/>
          <w:szCs w:val="28"/>
        </w:rPr>
        <w:t>PhD PROGRAM</w:t>
      </w:r>
    </w:p>
    <w:p w:rsidR="00AA6B97" w:rsidRPr="00BE79AD" w:rsidRDefault="00AA6B97" w:rsidP="00BE79AD"/>
    <w:p w:rsidR="00AA6B97" w:rsidRPr="00AA6B97" w:rsidRDefault="00AA6B97" w:rsidP="00AA6B97">
      <w:pPr>
        <w:spacing w:after="0"/>
        <w:jc w:val="center"/>
        <w:rPr>
          <w:rFonts w:ascii="Arial" w:hAnsi="Arial" w:cs="Arial"/>
          <w:b/>
          <w:sz w:val="24"/>
          <w:szCs w:val="24"/>
        </w:rPr>
      </w:pPr>
      <w:r w:rsidRPr="00AA6B97">
        <w:rPr>
          <w:rFonts w:ascii="Arial" w:hAnsi="Arial" w:cs="Arial"/>
          <w:b/>
          <w:sz w:val="24"/>
          <w:szCs w:val="24"/>
        </w:rPr>
        <w:t xml:space="preserve">Psychological Sciences </w:t>
      </w:r>
    </w:p>
    <w:p w:rsidR="00AA6B97" w:rsidRPr="00AA6B97" w:rsidRDefault="00AA6B97" w:rsidP="00AA6B97">
      <w:pPr>
        <w:spacing w:after="0"/>
        <w:jc w:val="center"/>
        <w:rPr>
          <w:rFonts w:ascii="Arial" w:hAnsi="Arial" w:cs="Arial"/>
          <w:b/>
          <w:sz w:val="24"/>
          <w:szCs w:val="24"/>
        </w:rPr>
      </w:pPr>
      <w:r w:rsidRPr="00AA6B97">
        <w:rPr>
          <w:rFonts w:ascii="Arial" w:hAnsi="Arial" w:cs="Arial"/>
          <w:b/>
          <w:sz w:val="24"/>
          <w:szCs w:val="24"/>
        </w:rPr>
        <w:t>Program Director: Prof. Nellie Georgiou-</w:t>
      </w:r>
      <w:proofErr w:type="spellStart"/>
      <w:r w:rsidRPr="00AA6B97">
        <w:rPr>
          <w:rFonts w:ascii="Arial" w:hAnsi="Arial" w:cs="Arial"/>
          <w:b/>
          <w:sz w:val="24"/>
          <w:szCs w:val="24"/>
        </w:rPr>
        <w:t>Karistianis</w:t>
      </w:r>
      <w:proofErr w:type="spellEnd"/>
    </w:p>
    <w:p w:rsidR="00AA6B97" w:rsidRPr="003D0A0D" w:rsidRDefault="00AA6B97" w:rsidP="00AA6B97">
      <w:pPr>
        <w:spacing w:after="0"/>
        <w:rPr>
          <w:rFonts w:ascii="Arial" w:hAnsi="Arial" w:cs="Arial"/>
          <w:sz w:val="24"/>
          <w:szCs w:val="24"/>
        </w:rPr>
      </w:pPr>
    </w:p>
    <w:p w:rsidR="00AA6B97" w:rsidRDefault="00AA6B97" w:rsidP="00AA6B97">
      <w:pPr>
        <w:spacing w:after="0"/>
        <w:jc w:val="both"/>
        <w:rPr>
          <w:rFonts w:ascii="Arial" w:hAnsi="Arial" w:cs="Arial"/>
          <w:sz w:val="24"/>
          <w:szCs w:val="24"/>
        </w:rPr>
      </w:pPr>
      <w:r w:rsidRPr="003D0A0D">
        <w:rPr>
          <w:rFonts w:ascii="Arial" w:hAnsi="Arial" w:cs="Arial"/>
          <w:sz w:val="24"/>
          <w:szCs w:val="24"/>
        </w:rPr>
        <w:t xml:space="preserve">Within the Faculty of Medicine, Nursing and Health Sciences students who undertake a doctorate by research in </w:t>
      </w:r>
      <w:r>
        <w:rPr>
          <w:rFonts w:ascii="Arial" w:hAnsi="Arial" w:cs="Arial"/>
          <w:sz w:val="24"/>
          <w:szCs w:val="24"/>
        </w:rPr>
        <w:t>Psychological Sciences typically have completed an undergraduate with honours and are undertaking the research doctorate as a pathway to a career in academia, government and regulatory bodies, hospitals, management or industry</w:t>
      </w:r>
      <w:r w:rsidRPr="003D0A0D">
        <w:rPr>
          <w:rFonts w:ascii="Arial" w:hAnsi="Arial" w:cs="Arial"/>
          <w:sz w:val="24"/>
          <w:szCs w:val="24"/>
        </w:rPr>
        <w:t xml:space="preserve">. It is proposed that training for students who undertake HDR research in this discipline area is </w:t>
      </w:r>
      <w:r>
        <w:rPr>
          <w:rFonts w:ascii="Arial" w:hAnsi="Arial" w:cs="Arial"/>
          <w:sz w:val="24"/>
          <w:szCs w:val="24"/>
        </w:rPr>
        <w:t>composed of options that will allow students</w:t>
      </w:r>
      <w:r w:rsidRPr="003D0A0D">
        <w:rPr>
          <w:rFonts w:ascii="Arial" w:hAnsi="Arial" w:cs="Arial"/>
          <w:sz w:val="24"/>
          <w:szCs w:val="24"/>
        </w:rPr>
        <w:t xml:space="preserve"> to gain </w:t>
      </w:r>
      <w:r>
        <w:rPr>
          <w:rFonts w:ascii="Arial" w:hAnsi="Arial" w:cs="Arial"/>
          <w:sz w:val="24"/>
          <w:szCs w:val="24"/>
        </w:rPr>
        <w:t xml:space="preserve">fundamental research </w:t>
      </w:r>
      <w:r w:rsidRPr="003D0A0D">
        <w:rPr>
          <w:rFonts w:ascii="Arial" w:hAnsi="Arial" w:cs="Arial"/>
          <w:sz w:val="24"/>
          <w:szCs w:val="24"/>
        </w:rPr>
        <w:t>skills</w:t>
      </w:r>
      <w:r>
        <w:rPr>
          <w:rFonts w:ascii="Arial" w:hAnsi="Arial" w:cs="Arial"/>
          <w:sz w:val="24"/>
          <w:szCs w:val="24"/>
        </w:rPr>
        <w:t xml:space="preserve"> in addition to advanced discipline specific knowledge and experience with the most up-to-date research technologies. Opportunities also exist in the program for industry placements allowing students the ability to obtain real world experience and expand their career options.  </w:t>
      </w:r>
    </w:p>
    <w:p w:rsidR="005714C7" w:rsidRDefault="005714C7" w:rsidP="00AA6B97">
      <w:pPr>
        <w:spacing w:after="0"/>
        <w:jc w:val="both"/>
        <w:rPr>
          <w:rFonts w:ascii="Arial" w:hAnsi="Arial" w:cs="Arial"/>
          <w:sz w:val="24"/>
          <w:szCs w:val="24"/>
        </w:rPr>
      </w:pPr>
    </w:p>
    <w:p w:rsidR="005714C7" w:rsidRPr="005714C7" w:rsidRDefault="005714C7" w:rsidP="005714C7">
      <w:r>
        <w:rPr>
          <w:rFonts w:ascii="Arial" w:hAnsi="Arial" w:cs="Arial"/>
          <w:sz w:val="24"/>
          <w:szCs w:val="24"/>
        </w:rPr>
        <w:t>Program features 120 hrs of training (80 hrs – MIGR, 40 hrs –Psychological Sciences).</w:t>
      </w:r>
    </w:p>
    <w:tbl>
      <w:tblPr>
        <w:tblStyle w:val="TableGrid"/>
        <w:tblW w:w="9180" w:type="dxa"/>
        <w:tblLayout w:type="fixed"/>
        <w:tblLook w:val="04A0"/>
      </w:tblPr>
      <w:tblGrid>
        <w:gridCol w:w="3085"/>
        <w:gridCol w:w="6095"/>
      </w:tblGrid>
      <w:tr w:rsidR="005714C7" w:rsidRPr="00C87ADB">
        <w:trPr>
          <w:trHeight w:val="722"/>
        </w:trPr>
        <w:tc>
          <w:tcPr>
            <w:tcW w:w="3085" w:type="dxa"/>
            <w:shd w:val="clear" w:color="auto" w:fill="FFFFFF" w:themeFill="background1"/>
          </w:tcPr>
          <w:p w:rsidR="005714C7" w:rsidRPr="009D0A38" w:rsidRDefault="005714C7" w:rsidP="00AA4FF3">
            <w:pPr>
              <w:spacing w:before="60" w:after="60"/>
              <w:rPr>
                <w:rFonts w:ascii="Arial" w:eastAsia="MS PGothic" w:hAnsi="Arial" w:cs="Arial"/>
                <w:b/>
                <w:bCs/>
                <w:color w:val="1F497D" w:themeColor="text2"/>
                <w:lang w:val="en-US"/>
              </w:rPr>
            </w:pPr>
            <w:r w:rsidRPr="009D0A38">
              <w:rPr>
                <w:rFonts w:ascii="Arial" w:eastAsia="MS PGothic" w:hAnsi="Arial" w:cs="Arial"/>
                <w:b/>
                <w:bCs/>
                <w:color w:val="1F497D" w:themeColor="text2"/>
                <w:lang w:val="en-US"/>
              </w:rPr>
              <w:t>Activity Title</w:t>
            </w:r>
          </w:p>
          <w:p w:rsidR="005714C7" w:rsidRPr="009D0A38" w:rsidRDefault="005714C7" w:rsidP="00AA4FF3">
            <w:pPr>
              <w:spacing w:before="60" w:after="60"/>
              <w:rPr>
                <w:rFonts w:ascii="Arial" w:eastAsia="MS PGothic" w:hAnsi="Arial" w:cs="Arial"/>
                <w:b/>
                <w:bCs/>
                <w:color w:val="1F497D" w:themeColor="text2"/>
                <w:lang w:val="en-US"/>
              </w:rPr>
            </w:pPr>
          </w:p>
        </w:tc>
        <w:tc>
          <w:tcPr>
            <w:tcW w:w="6095" w:type="dxa"/>
            <w:tcBorders>
              <w:left w:val="single" w:sz="4" w:space="0" w:color="auto"/>
            </w:tcBorders>
            <w:shd w:val="clear" w:color="auto" w:fill="FFFFFF" w:themeFill="background1"/>
          </w:tcPr>
          <w:p w:rsidR="005714C7" w:rsidRPr="009D0A38" w:rsidRDefault="005714C7" w:rsidP="00AA4FF3">
            <w:pPr>
              <w:spacing w:before="60" w:after="60"/>
              <w:rPr>
                <w:rFonts w:ascii="Arial" w:eastAsia="MS PGothic" w:hAnsi="Arial" w:cs="Arial"/>
                <w:b/>
                <w:bCs/>
                <w:color w:val="1F497D" w:themeColor="text2"/>
                <w:lang w:val="en-US"/>
              </w:rPr>
            </w:pPr>
            <w:r>
              <w:rPr>
                <w:rFonts w:ascii="Arial" w:eastAsia="MS PGothic" w:hAnsi="Arial" w:cs="Arial"/>
                <w:b/>
                <w:bCs/>
                <w:color w:val="1F497D" w:themeColor="text2"/>
                <w:lang w:val="en-US"/>
              </w:rPr>
              <w:t>Description and expected outcomes</w:t>
            </w:r>
          </w:p>
        </w:tc>
      </w:tr>
      <w:tr w:rsidR="005714C7" w:rsidRPr="00C87ADB">
        <w:tc>
          <w:tcPr>
            <w:tcW w:w="3085" w:type="dxa"/>
            <w:tcBorders>
              <w:right w:val="single" w:sz="4" w:space="0" w:color="auto"/>
            </w:tcBorders>
          </w:tcPr>
          <w:p w:rsidR="005714C7" w:rsidRPr="005714C7" w:rsidRDefault="005714C7" w:rsidP="00AA4FF3">
            <w:pPr>
              <w:spacing w:before="60" w:after="60"/>
              <w:rPr>
                <w:rFonts w:cs="Arial"/>
                <w:bCs/>
                <w:highlight w:val="yellow"/>
              </w:rPr>
            </w:pPr>
            <w:r w:rsidRPr="005714C7">
              <w:t>Advanced writing for publication in</w:t>
            </w:r>
            <w:r w:rsidRPr="005714C7">
              <w:rPr>
                <w:i/>
              </w:rPr>
              <w:t xml:space="preserve"> </w:t>
            </w:r>
            <w:r w:rsidRPr="005714C7">
              <w:t>Psychological Sciences</w:t>
            </w:r>
          </w:p>
        </w:tc>
        <w:tc>
          <w:tcPr>
            <w:tcW w:w="6095" w:type="dxa"/>
          </w:tcPr>
          <w:p w:rsidR="005714C7" w:rsidRPr="005714C7" w:rsidRDefault="005714C7" w:rsidP="00AA4FF3">
            <w:pPr>
              <w:spacing w:before="60" w:after="60"/>
            </w:pPr>
            <w:r w:rsidRPr="005714C7">
              <w:t xml:space="preserve">This workshop builds on the MIGR workshop writing for publication. Students will cover topics such as: selecting the right Psychological Sciences journal; following journal specific instructions; The structure and writing of Psychological Sciences papers. </w:t>
            </w:r>
          </w:p>
          <w:p w:rsidR="005714C7" w:rsidRPr="005714C7" w:rsidRDefault="005714C7" w:rsidP="00AA4FF3">
            <w:pPr>
              <w:spacing w:before="60" w:after="60"/>
            </w:pPr>
          </w:p>
          <w:p w:rsidR="005714C7" w:rsidRPr="005714C7" w:rsidRDefault="005714C7" w:rsidP="00AA4FF3">
            <w:pPr>
              <w:spacing w:before="60" w:after="60"/>
              <w:rPr>
                <w:rFonts w:ascii="Arial" w:hAnsi="Arial" w:cs="Arial"/>
                <w:bCs/>
                <w:highlight w:val="yellow"/>
              </w:rPr>
            </w:pPr>
          </w:p>
        </w:tc>
      </w:tr>
      <w:tr w:rsidR="005714C7" w:rsidRPr="00C87ADB">
        <w:tc>
          <w:tcPr>
            <w:tcW w:w="3085" w:type="dxa"/>
            <w:tcBorders>
              <w:right w:val="single" w:sz="4" w:space="0" w:color="auto"/>
            </w:tcBorders>
          </w:tcPr>
          <w:p w:rsidR="005714C7" w:rsidRPr="005714C7" w:rsidRDefault="005714C7" w:rsidP="00AA4FF3">
            <w:pPr>
              <w:spacing w:before="60" w:after="60"/>
              <w:rPr>
                <w:color w:val="000000"/>
              </w:rPr>
            </w:pPr>
            <w:r w:rsidRPr="005714C7">
              <w:t>Auditing of the unit</w:t>
            </w:r>
            <w:r w:rsidRPr="005714C7">
              <w:rPr>
                <w:color w:val="000000"/>
              </w:rPr>
              <w:t xml:space="preserve"> DPSY5103 - Research Methods in Professional Psychology</w:t>
            </w:r>
          </w:p>
          <w:p w:rsidR="005714C7" w:rsidRPr="005714C7" w:rsidRDefault="005714C7" w:rsidP="00AA4FF3">
            <w:pPr>
              <w:spacing w:before="60" w:after="60"/>
              <w:rPr>
                <w:rFonts w:cs="Arial"/>
                <w:bCs/>
              </w:rPr>
            </w:pPr>
          </w:p>
        </w:tc>
        <w:tc>
          <w:tcPr>
            <w:tcW w:w="6095" w:type="dxa"/>
          </w:tcPr>
          <w:p w:rsidR="005714C7" w:rsidRPr="005714C7" w:rsidRDefault="005714C7" w:rsidP="005714C7">
            <w:pPr>
              <w:spacing w:before="60" w:after="60"/>
            </w:pPr>
            <w:r w:rsidRPr="005714C7">
              <w:t xml:space="preserve">Students will audit this unit (auditing the unit requires completing the unit to the satisfaction of supervising staff but not complete any formalised assessment tasks). </w:t>
            </w:r>
          </w:p>
        </w:tc>
      </w:tr>
      <w:tr w:rsidR="005714C7" w:rsidRPr="00C87ADB">
        <w:tc>
          <w:tcPr>
            <w:tcW w:w="3085" w:type="dxa"/>
            <w:tcBorders>
              <w:right w:val="single" w:sz="4" w:space="0" w:color="auto"/>
            </w:tcBorders>
          </w:tcPr>
          <w:p w:rsidR="005714C7" w:rsidRPr="005714C7" w:rsidRDefault="005714C7" w:rsidP="00AA4FF3">
            <w:pPr>
              <w:spacing w:before="60" w:after="60"/>
              <w:rPr>
                <w:rFonts w:cs="Arial"/>
                <w:bCs/>
              </w:rPr>
            </w:pPr>
            <w:r w:rsidRPr="005714C7">
              <w:t xml:space="preserve">Latest News in Cognitive Neurosciences </w:t>
            </w:r>
          </w:p>
        </w:tc>
        <w:tc>
          <w:tcPr>
            <w:tcW w:w="6095" w:type="dxa"/>
          </w:tcPr>
          <w:p w:rsidR="005714C7" w:rsidRPr="005714C7" w:rsidRDefault="005714C7" w:rsidP="00AA4FF3">
            <w:pPr>
              <w:spacing w:before="60" w:after="60"/>
              <w:rPr>
                <w:rFonts w:cs="Arial"/>
                <w:bCs/>
                <w:highlight w:val="green"/>
              </w:rPr>
            </w:pPr>
            <w:r w:rsidRPr="005714C7">
              <w:t xml:space="preserve">Research seminars specific for Psychological Sciences are designed to enhance the breadth of HDR student knowledge, their appreciation of current issues, and their understanding of the approaches used by successful scientists to investigate these issues. From attending seminars in the school and sub-Faculty it Is expected that students will develop a broader knowledge of their discipline area. </w:t>
            </w:r>
          </w:p>
        </w:tc>
      </w:tr>
      <w:tr w:rsidR="005714C7" w:rsidRPr="00C87ADB">
        <w:tc>
          <w:tcPr>
            <w:tcW w:w="3085" w:type="dxa"/>
            <w:tcBorders>
              <w:right w:val="single" w:sz="4" w:space="0" w:color="auto"/>
            </w:tcBorders>
          </w:tcPr>
          <w:p w:rsidR="005714C7" w:rsidRPr="005714C7" w:rsidRDefault="005714C7" w:rsidP="00AA4FF3">
            <w:pPr>
              <w:spacing w:before="60" w:after="60"/>
              <w:rPr>
                <w:rFonts w:cs="Arial"/>
                <w:b/>
              </w:rPr>
            </w:pPr>
            <w:r w:rsidRPr="005714C7">
              <w:t xml:space="preserve">Cutting Edge Research Technologies and Practice in Psychological Sciences </w:t>
            </w:r>
          </w:p>
        </w:tc>
        <w:tc>
          <w:tcPr>
            <w:tcW w:w="6095" w:type="dxa"/>
          </w:tcPr>
          <w:p w:rsidR="005714C7" w:rsidRPr="005714C7" w:rsidRDefault="005714C7" w:rsidP="00AA4FF3">
            <w:pPr>
              <w:spacing w:before="60" w:after="60"/>
            </w:pPr>
            <w:r w:rsidRPr="005714C7">
              <w:t>This module contains workshops on the most up to date research methodologies in the Psychological Sciences, including: Imaging, Genetics and Sleep, in addition to real world insights by practicing Psychologists. Training may include attending workshops/symposia on specific platform technologies and equipment training.</w:t>
            </w:r>
          </w:p>
          <w:p w:rsidR="005714C7" w:rsidRPr="005714C7" w:rsidRDefault="005714C7" w:rsidP="00AA4FF3">
            <w:pPr>
              <w:spacing w:before="60" w:after="60"/>
            </w:pPr>
          </w:p>
        </w:tc>
      </w:tr>
      <w:tr w:rsidR="005714C7" w:rsidRPr="00C87ADB">
        <w:tc>
          <w:tcPr>
            <w:tcW w:w="3085" w:type="dxa"/>
            <w:tcBorders>
              <w:right w:val="single" w:sz="4" w:space="0" w:color="auto"/>
            </w:tcBorders>
          </w:tcPr>
          <w:p w:rsidR="005714C7" w:rsidRPr="005714C7" w:rsidRDefault="005714C7" w:rsidP="00AA4FF3">
            <w:pPr>
              <w:spacing w:before="60" w:after="60"/>
            </w:pPr>
            <w:r w:rsidRPr="005714C7">
              <w:t>Cutting Edge Research Technologies in Biomedical Sciences</w:t>
            </w:r>
          </w:p>
        </w:tc>
        <w:tc>
          <w:tcPr>
            <w:tcW w:w="6095" w:type="dxa"/>
          </w:tcPr>
          <w:p w:rsidR="005714C7" w:rsidRPr="005714C7" w:rsidRDefault="005714C7" w:rsidP="00AA4FF3">
            <w:pPr>
              <w:spacing w:before="60" w:after="60"/>
              <w:rPr>
                <w:rFonts w:ascii="Arial" w:hAnsi="Arial" w:cs="Arial"/>
                <w:bCs/>
                <w:highlight w:val="yellow"/>
              </w:rPr>
            </w:pPr>
            <w:r w:rsidRPr="005714C7">
              <w:t>Other Research Platform Training  -– may include attending workshops/symposia on specific research platform technologies and specific equipment training used in biomedical research more generally (this component has been developed as part of the Biomedical Science PhD training program)</w:t>
            </w:r>
          </w:p>
        </w:tc>
      </w:tr>
      <w:tr w:rsidR="005714C7" w:rsidRPr="00C87ADB">
        <w:tc>
          <w:tcPr>
            <w:tcW w:w="3085" w:type="dxa"/>
            <w:tcBorders>
              <w:right w:val="single" w:sz="4" w:space="0" w:color="auto"/>
            </w:tcBorders>
          </w:tcPr>
          <w:p w:rsidR="005714C7" w:rsidRPr="005714C7" w:rsidRDefault="005714C7" w:rsidP="00AA4FF3">
            <w:pPr>
              <w:spacing w:before="60" w:after="60"/>
            </w:pPr>
            <w:r w:rsidRPr="005714C7">
              <w:t>Effective Teaching Approaches in Psychological Sciences</w:t>
            </w:r>
          </w:p>
        </w:tc>
        <w:tc>
          <w:tcPr>
            <w:tcW w:w="6095" w:type="dxa"/>
          </w:tcPr>
          <w:p w:rsidR="005714C7" w:rsidRPr="005714C7" w:rsidRDefault="005714C7" w:rsidP="00AA4FF3">
            <w:pPr>
              <w:spacing w:before="60" w:after="60"/>
              <w:rPr>
                <w:rFonts w:ascii="Arial" w:hAnsi="Arial" w:cs="Arial"/>
                <w:bCs/>
                <w:highlight w:val="yellow"/>
              </w:rPr>
            </w:pPr>
            <w:r w:rsidRPr="005714C7">
              <w:rPr>
                <w:rFonts w:ascii="Arial" w:hAnsi="Arial" w:cs="Arial"/>
                <w:bCs/>
              </w:rPr>
              <w:t>This training includes training in how to be an effective demonstrator and tutor for undergraduate Psychology students.</w:t>
            </w:r>
          </w:p>
        </w:tc>
      </w:tr>
      <w:tr w:rsidR="005714C7" w:rsidRPr="00C87ADB">
        <w:tc>
          <w:tcPr>
            <w:tcW w:w="3085" w:type="dxa"/>
            <w:tcBorders>
              <w:right w:val="single" w:sz="4" w:space="0" w:color="auto"/>
            </w:tcBorders>
          </w:tcPr>
          <w:p w:rsidR="005714C7" w:rsidRPr="005714C7" w:rsidRDefault="005714C7" w:rsidP="00AA4FF3">
            <w:pPr>
              <w:spacing w:before="60" w:after="60"/>
            </w:pPr>
            <w:r w:rsidRPr="005714C7">
              <w:t>Scholarly communication in the Psychological Sciences</w:t>
            </w:r>
          </w:p>
          <w:p w:rsidR="005714C7" w:rsidRPr="005714C7" w:rsidRDefault="005714C7" w:rsidP="00AA4FF3">
            <w:pPr>
              <w:spacing w:before="60" w:after="60"/>
            </w:pPr>
          </w:p>
        </w:tc>
        <w:tc>
          <w:tcPr>
            <w:tcW w:w="6095" w:type="dxa"/>
          </w:tcPr>
          <w:p w:rsidR="005714C7" w:rsidRPr="005714C7" w:rsidRDefault="005714C7" w:rsidP="00AA4FF3">
            <w:pPr>
              <w:spacing w:before="60" w:after="60"/>
            </w:pPr>
            <w:r w:rsidRPr="005714C7">
              <w:t>In this series of activities students will learn about discipline specific practices and tools to enable efficient scholarly communication throughout their research program and into their careers.</w:t>
            </w:r>
          </w:p>
        </w:tc>
      </w:tr>
      <w:tr w:rsidR="005714C7" w:rsidRPr="00C87ADB">
        <w:tc>
          <w:tcPr>
            <w:tcW w:w="3085" w:type="dxa"/>
            <w:tcBorders>
              <w:right w:val="single" w:sz="4" w:space="0" w:color="auto"/>
            </w:tcBorders>
          </w:tcPr>
          <w:p w:rsidR="005714C7" w:rsidRPr="005714C7" w:rsidRDefault="005714C7" w:rsidP="00AA4FF3">
            <w:pPr>
              <w:spacing w:before="60" w:after="60"/>
            </w:pPr>
            <w:r w:rsidRPr="005714C7">
              <w:t>Grant Writing and Fellowship Applications in Psychological Sciences</w:t>
            </w:r>
          </w:p>
        </w:tc>
        <w:tc>
          <w:tcPr>
            <w:tcW w:w="6095" w:type="dxa"/>
          </w:tcPr>
          <w:p w:rsidR="005714C7" w:rsidRPr="005714C7" w:rsidRDefault="005714C7" w:rsidP="00AA4FF3">
            <w:pPr>
              <w:spacing w:before="60" w:after="60"/>
            </w:pPr>
            <w:r w:rsidRPr="005714C7">
              <w:t>This workshop will cover opportunities available for grants and fellowships as well as tips on how to write these for Psychological Science based research.</w:t>
            </w:r>
          </w:p>
        </w:tc>
      </w:tr>
      <w:tr w:rsidR="005714C7" w:rsidRPr="00C87ADB">
        <w:tc>
          <w:tcPr>
            <w:tcW w:w="3085" w:type="dxa"/>
            <w:tcBorders>
              <w:right w:val="single" w:sz="4" w:space="0" w:color="auto"/>
            </w:tcBorders>
          </w:tcPr>
          <w:p w:rsidR="005714C7" w:rsidRPr="005714C7" w:rsidRDefault="005714C7" w:rsidP="00AA4FF3">
            <w:pPr>
              <w:pStyle w:val="BodyText"/>
              <w:rPr>
                <w:rFonts w:asciiTheme="minorHAnsi" w:hAnsiTheme="minorHAnsi"/>
                <w:sz w:val="22"/>
                <w:szCs w:val="22"/>
              </w:rPr>
            </w:pPr>
            <w:r w:rsidRPr="005714C7">
              <w:rPr>
                <w:rFonts w:asciiTheme="minorHAnsi" w:hAnsiTheme="minorHAnsi"/>
                <w:sz w:val="22"/>
                <w:szCs w:val="22"/>
              </w:rPr>
              <w:t xml:space="preserve">Industry placements in Psychological Sciences </w:t>
            </w:r>
          </w:p>
        </w:tc>
        <w:tc>
          <w:tcPr>
            <w:tcW w:w="6095" w:type="dxa"/>
          </w:tcPr>
          <w:p w:rsidR="005714C7" w:rsidRPr="005714C7" w:rsidRDefault="005714C7" w:rsidP="00AA4FF3">
            <w:pPr>
              <w:spacing w:before="60" w:after="60"/>
            </w:pPr>
            <w:r w:rsidRPr="005714C7">
              <w:t>Work experience in an industry setting will facilitate engagement with industry partners and will help to develop transferable skills.</w:t>
            </w:r>
          </w:p>
        </w:tc>
      </w:tr>
      <w:tr w:rsidR="005714C7" w:rsidRPr="00C87ADB">
        <w:tc>
          <w:tcPr>
            <w:tcW w:w="3085" w:type="dxa"/>
            <w:tcBorders>
              <w:right w:val="single" w:sz="4" w:space="0" w:color="auto"/>
            </w:tcBorders>
          </w:tcPr>
          <w:p w:rsidR="005714C7" w:rsidRPr="005714C7" w:rsidRDefault="005714C7" w:rsidP="00AA4FF3">
            <w:pPr>
              <w:pStyle w:val="BodyText"/>
              <w:rPr>
                <w:rFonts w:asciiTheme="minorHAnsi" w:hAnsiTheme="minorHAnsi"/>
                <w:sz w:val="22"/>
                <w:szCs w:val="22"/>
              </w:rPr>
            </w:pPr>
            <w:r w:rsidRPr="005714C7">
              <w:rPr>
                <w:rFonts w:asciiTheme="minorHAnsi" w:hAnsiTheme="minorHAnsi"/>
                <w:sz w:val="22"/>
                <w:szCs w:val="22"/>
              </w:rPr>
              <w:t>Honours supervision experience in Psychological Sciences</w:t>
            </w:r>
          </w:p>
        </w:tc>
        <w:tc>
          <w:tcPr>
            <w:tcW w:w="6095" w:type="dxa"/>
          </w:tcPr>
          <w:p w:rsidR="005714C7" w:rsidRPr="005714C7" w:rsidRDefault="005714C7" w:rsidP="00AA4FF3">
            <w:pPr>
              <w:spacing w:before="60" w:after="60"/>
            </w:pPr>
            <w:r w:rsidRPr="005714C7">
              <w:rPr>
                <w:rFonts w:cs="Arial"/>
                <w:color w:val="1A1A1A"/>
                <w:lang w:val="en-US"/>
              </w:rPr>
              <w:t xml:space="preserve">Available for PhD students who have been confirmed. HDR students will be able to offer an </w:t>
            </w:r>
            <w:proofErr w:type="spellStart"/>
            <w:r w:rsidRPr="005714C7">
              <w:rPr>
                <w:rFonts w:cs="Arial"/>
                <w:color w:val="1A1A1A"/>
                <w:lang w:val="en-US"/>
              </w:rPr>
              <w:t>honours</w:t>
            </w:r>
            <w:proofErr w:type="spellEnd"/>
            <w:r w:rsidRPr="005714C7">
              <w:rPr>
                <w:rFonts w:cs="Arial"/>
                <w:color w:val="1A1A1A"/>
                <w:lang w:val="en-US"/>
              </w:rPr>
              <w:t xml:space="preserve"> project under the guidance of their primary supervisor. This will allow HDR students to mentor junior researchers at the </w:t>
            </w:r>
            <w:proofErr w:type="spellStart"/>
            <w:r w:rsidRPr="005714C7">
              <w:rPr>
                <w:rFonts w:cs="Arial"/>
                <w:color w:val="1A1A1A"/>
                <w:lang w:val="en-US"/>
              </w:rPr>
              <w:t>honours</w:t>
            </w:r>
            <w:proofErr w:type="spellEnd"/>
            <w:r w:rsidRPr="005714C7">
              <w:rPr>
                <w:rFonts w:cs="Arial"/>
                <w:color w:val="1A1A1A"/>
                <w:lang w:val="en-US"/>
              </w:rPr>
              <w:t xml:space="preserve"> level and develop skills in supervision, communication, and mentoring</w:t>
            </w:r>
            <w:r w:rsidRPr="005714C7">
              <w:t xml:space="preserve">. Only 5 places will be available each year. </w:t>
            </w:r>
          </w:p>
        </w:tc>
      </w:tr>
    </w:tbl>
    <w:p w:rsidR="00622704" w:rsidRDefault="00622704">
      <w:pPr>
        <w:rPr>
          <w:rFonts w:ascii="Arial" w:hAnsi="Arial" w:cs="Arial"/>
          <w:sz w:val="24"/>
          <w:szCs w:val="24"/>
        </w:rPr>
      </w:pPr>
    </w:p>
    <w:p w:rsidR="00622704" w:rsidRDefault="00622704">
      <w:pPr>
        <w:rPr>
          <w:rFonts w:ascii="Arial" w:hAnsi="Arial" w:cs="Arial"/>
          <w:sz w:val="24"/>
          <w:szCs w:val="24"/>
        </w:rPr>
      </w:pPr>
    </w:p>
    <w:p w:rsidR="00622704" w:rsidRDefault="00622704">
      <w:pPr>
        <w:rPr>
          <w:rFonts w:ascii="Arial" w:hAnsi="Arial" w:cs="Arial"/>
          <w:sz w:val="24"/>
          <w:szCs w:val="24"/>
        </w:rPr>
      </w:pPr>
    </w:p>
    <w:p w:rsidR="00622704" w:rsidRDefault="00622704">
      <w:pPr>
        <w:rPr>
          <w:rFonts w:ascii="Arial" w:hAnsi="Arial" w:cs="Arial"/>
          <w:sz w:val="24"/>
          <w:szCs w:val="24"/>
        </w:rPr>
      </w:pPr>
    </w:p>
    <w:p w:rsidR="00622704" w:rsidRDefault="00622704">
      <w:pPr>
        <w:rPr>
          <w:rFonts w:ascii="Arial" w:hAnsi="Arial" w:cs="Arial"/>
          <w:sz w:val="24"/>
          <w:szCs w:val="24"/>
        </w:rPr>
      </w:pPr>
    </w:p>
    <w:p w:rsidR="00622704" w:rsidRDefault="00622704">
      <w:pPr>
        <w:rPr>
          <w:rFonts w:ascii="Arial" w:hAnsi="Arial" w:cs="Arial"/>
          <w:sz w:val="24"/>
          <w:szCs w:val="24"/>
        </w:rPr>
      </w:pPr>
    </w:p>
    <w:p w:rsidR="00622704" w:rsidRDefault="00622704">
      <w:pPr>
        <w:rPr>
          <w:rFonts w:ascii="Arial" w:hAnsi="Arial" w:cs="Arial"/>
          <w:sz w:val="24"/>
          <w:szCs w:val="24"/>
        </w:rPr>
      </w:pPr>
    </w:p>
    <w:p w:rsidR="00622704" w:rsidRDefault="00622704">
      <w:pPr>
        <w:rPr>
          <w:rFonts w:ascii="Arial" w:hAnsi="Arial" w:cs="Arial"/>
          <w:sz w:val="24"/>
          <w:szCs w:val="24"/>
        </w:rPr>
      </w:pPr>
    </w:p>
    <w:p w:rsidR="00622704" w:rsidRDefault="00622704">
      <w:pPr>
        <w:rPr>
          <w:rFonts w:ascii="Arial" w:hAnsi="Arial" w:cs="Arial"/>
          <w:sz w:val="24"/>
          <w:szCs w:val="24"/>
        </w:rPr>
      </w:pPr>
    </w:p>
    <w:p w:rsidR="00622704" w:rsidRDefault="00622704">
      <w:pPr>
        <w:rPr>
          <w:rFonts w:ascii="Arial" w:hAnsi="Arial" w:cs="Arial"/>
          <w:sz w:val="24"/>
          <w:szCs w:val="24"/>
        </w:rPr>
      </w:pPr>
    </w:p>
    <w:p w:rsidR="00834D4F" w:rsidRDefault="00834D4F">
      <w:pPr>
        <w:rPr>
          <w:rFonts w:ascii="Arial" w:hAnsi="Arial" w:cs="Arial"/>
          <w:sz w:val="24"/>
          <w:szCs w:val="24"/>
        </w:rPr>
      </w:pPr>
    </w:p>
    <w:p w:rsidR="00834D4F" w:rsidRDefault="00834D4F" w:rsidP="00834D4F">
      <w:pPr>
        <w:pStyle w:val="Heading1"/>
        <w:spacing w:after="0"/>
        <w:jc w:val="center"/>
        <w:rPr>
          <w:rFonts w:cs="Arial"/>
          <w:color w:val="17365D"/>
          <w:sz w:val="28"/>
          <w:szCs w:val="28"/>
        </w:rPr>
      </w:pPr>
      <w:r w:rsidRPr="00C87ADB">
        <w:rPr>
          <w:rFonts w:cs="Arial"/>
          <w:color w:val="17365D"/>
          <w:sz w:val="28"/>
          <w:szCs w:val="28"/>
        </w:rPr>
        <w:t xml:space="preserve">PhD PROGRAM </w:t>
      </w:r>
    </w:p>
    <w:p w:rsidR="00834D4F" w:rsidRDefault="00834D4F" w:rsidP="00834D4F">
      <w:pPr>
        <w:spacing w:after="0"/>
        <w:jc w:val="center"/>
        <w:rPr>
          <w:rFonts w:ascii="Arial" w:hAnsi="Arial" w:cs="Arial"/>
          <w:b/>
          <w:color w:val="1A1A1A"/>
          <w:sz w:val="24"/>
          <w:szCs w:val="24"/>
          <w:lang w:val="en-US"/>
        </w:rPr>
      </w:pPr>
    </w:p>
    <w:p w:rsidR="00834D4F" w:rsidRDefault="00834D4F" w:rsidP="00834D4F">
      <w:pPr>
        <w:spacing w:after="0"/>
        <w:jc w:val="center"/>
        <w:rPr>
          <w:rFonts w:ascii="Arial" w:hAnsi="Arial" w:cs="Arial"/>
          <w:b/>
          <w:color w:val="1A1A1A"/>
          <w:sz w:val="24"/>
          <w:szCs w:val="24"/>
          <w:lang w:val="en-US"/>
        </w:rPr>
      </w:pPr>
      <w:r w:rsidRPr="00B165D5">
        <w:rPr>
          <w:rFonts w:ascii="Arial" w:hAnsi="Arial" w:cs="Arial"/>
          <w:b/>
          <w:color w:val="1A1A1A"/>
          <w:sz w:val="24"/>
          <w:szCs w:val="24"/>
          <w:lang w:val="en-US"/>
        </w:rPr>
        <w:t>Public Health and Preventive Medicine</w:t>
      </w:r>
    </w:p>
    <w:p w:rsidR="00834D4F" w:rsidRPr="00B165D5" w:rsidRDefault="00834D4F" w:rsidP="00834D4F">
      <w:pPr>
        <w:jc w:val="center"/>
        <w:rPr>
          <w:b/>
        </w:rPr>
      </w:pPr>
      <w:r w:rsidRPr="00AA6B97">
        <w:rPr>
          <w:rFonts w:ascii="Arial" w:hAnsi="Arial" w:cs="Arial"/>
          <w:b/>
          <w:sz w:val="24"/>
          <w:szCs w:val="24"/>
        </w:rPr>
        <w:t>Program Director:</w:t>
      </w:r>
      <w:r w:rsidR="0062511B">
        <w:rPr>
          <w:rFonts w:ascii="Arial" w:hAnsi="Arial" w:cs="Arial"/>
          <w:b/>
          <w:sz w:val="24"/>
          <w:szCs w:val="24"/>
        </w:rPr>
        <w:t xml:space="preserve"> </w:t>
      </w:r>
      <w:r>
        <w:rPr>
          <w:rFonts w:ascii="Arial" w:hAnsi="Arial" w:cs="Arial"/>
          <w:b/>
          <w:sz w:val="24"/>
          <w:szCs w:val="24"/>
        </w:rPr>
        <w:t>Prof. Rory Wolfe</w:t>
      </w: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r>
        <w:rPr>
          <w:rFonts w:ascii="Arial" w:hAnsi="Arial" w:cs="Arial"/>
          <w:color w:val="1A1A1A"/>
          <w:sz w:val="24"/>
          <w:szCs w:val="24"/>
          <w:lang w:val="en-US"/>
        </w:rPr>
        <w:t>The Public Health and Preventive Medicine PhD P</w:t>
      </w:r>
      <w:r w:rsidRPr="00E50732">
        <w:rPr>
          <w:rFonts w:ascii="Arial" w:hAnsi="Arial" w:cs="Arial"/>
          <w:color w:val="1A1A1A"/>
          <w:sz w:val="24"/>
          <w:szCs w:val="24"/>
          <w:lang w:val="en-US"/>
        </w:rPr>
        <w:t xml:space="preserve">rogram </w:t>
      </w:r>
      <w:r>
        <w:rPr>
          <w:rFonts w:ascii="Arial" w:hAnsi="Arial" w:cs="Arial"/>
          <w:color w:val="1A1A1A"/>
          <w:sz w:val="24"/>
          <w:szCs w:val="24"/>
          <w:lang w:val="en-US"/>
        </w:rPr>
        <w:t>will be a Coursework program</w:t>
      </w:r>
      <w:r w:rsidRPr="00E50732">
        <w:rPr>
          <w:rFonts w:ascii="Arial" w:hAnsi="Arial" w:cs="Arial"/>
          <w:color w:val="1A1A1A"/>
          <w:sz w:val="24"/>
          <w:szCs w:val="24"/>
          <w:lang w:val="en-US"/>
        </w:rPr>
        <w:t xml:space="preserve">. </w:t>
      </w: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r>
        <w:rPr>
          <w:rFonts w:ascii="Arial" w:hAnsi="Arial" w:cs="Arial"/>
          <w:color w:val="1A1A1A"/>
          <w:sz w:val="24"/>
          <w:szCs w:val="24"/>
          <w:lang w:val="en-US"/>
        </w:rPr>
        <w:t>Students who undertake this program will be required to take two c</w:t>
      </w:r>
      <w:r w:rsidRPr="00E50732">
        <w:rPr>
          <w:rFonts w:ascii="Arial" w:hAnsi="Arial" w:cs="Arial"/>
          <w:color w:val="1A1A1A"/>
          <w:sz w:val="24"/>
          <w:szCs w:val="24"/>
          <w:lang w:val="en-US"/>
        </w:rPr>
        <w:t xml:space="preserve">ore </w:t>
      </w:r>
      <w:r>
        <w:rPr>
          <w:rFonts w:ascii="Arial" w:hAnsi="Arial" w:cs="Arial"/>
          <w:color w:val="1A1A1A"/>
          <w:sz w:val="24"/>
          <w:szCs w:val="24"/>
          <w:lang w:val="en-US"/>
        </w:rPr>
        <w:t xml:space="preserve">course work units: </w:t>
      </w: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p>
    <w:p w:rsidR="00834D4F" w:rsidRPr="007340A9" w:rsidRDefault="00834D4F" w:rsidP="00834D4F">
      <w:pPr>
        <w:pStyle w:val="ListParagraph"/>
        <w:numPr>
          <w:ilvl w:val="0"/>
          <w:numId w:val="46"/>
        </w:numPr>
        <w:jc w:val="both"/>
        <w:rPr>
          <w:rFonts w:ascii="Arial" w:hAnsi="Arial"/>
          <w:sz w:val="24"/>
          <w:szCs w:val="24"/>
        </w:rPr>
      </w:pPr>
      <w:r>
        <w:rPr>
          <w:rFonts w:ascii="Arial" w:hAnsi="Arial"/>
          <w:sz w:val="24"/>
          <w:szCs w:val="24"/>
        </w:rPr>
        <w:t>MPH5040</w:t>
      </w:r>
      <w:r w:rsidRPr="007340A9">
        <w:rPr>
          <w:rFonts w:ascii="Arial" w:hAnsi="Arial"/>
          <w:sz w:val="24"/>
          <w:szCs w:val="24"/>
        </w:rPr>
        <w:t xml:space="preserve">: </w:t>
      </w:r>
      <w:r>
        <w:rPr>
          <w:rFonts w:ascii="Arial" w:hAnsi="Arial"/>
          <w:sz w:val="24"/>
          <w:szCs w:val="24"/>
        </w:rPr>
        <w:t xml:space="preserve">Introductory Epidemiology – 6 credit points </w:t>
      </w:r>
    </w:p>
    <w:p w:rsidR="00834D4F" w:rsidRPr="00E558F2" w:rsidRDefault="00834D4F" w:rsidP="00834D4F">
      <w:pPr>
        <w:pStyle w:val="ListParagraph"/>
        <w:widowControl w:val="0"/>
        <w:numPr>
          <w:ilvl w:val="0"/>
          <w:numId w:val="48"/>
        </w:numPr>
        <w:autoSpaceDE w:val="0"/>
        <w:autoSpaceDN w:val="0"/>
        <w:adjustRightInd w:val="0"/>
        <w:spacing w:line="240" w:lineRule="auto"/>
        <w:rPr>
          <w:rFonts w:ascii="Arial" w:hAnsi="Arial" w:cs="Arial"/>
          <w:color w:val="1A1A1A"/>
          <w:sz w:val="24"/>
          <w:szCs w:val="24"/>
          <w:lang w:val="en-US"/>
        </w:rPr>
      </w:pPr>
      <w:r>
        <w:rPr>
          <w:rFonts w:ascii="Arial" w:hAnsi="Arial"/>
          <w:sz w:val="24"/>
          <w:szCs w:val="24"/>
        </w:rPr>
        <w:t>MPH5041</w:t>
      </w:r>
      <w:r w:rsidRPr="007340A9">
        <w:rPr>
          <w:rFonts w:ascii="Arial" w:hAnsi="Arial"/>
          <w:sz w:val="24"/>
          <w:szCs w:val="24"/>
        </w:rPr>
        <w:t xml:space="preserve">: </w:t>
      </w:r>
      <w:r>
        <w:rPr>
          <w:rFonts w:ascii="Arial" w:hAnsi="Arial" w:cs="Arial"/>
          <w:color w:val="1A1A1A"/>
          <w:sz w:val="24"/>
          <w:szCs w:val="24"/>
          <w:lang w:val="en-US"/>
        </w:rPr>
        <w:t xml:space="preserve">Introductory Biostatistics </w:t>
      </w:r>
      <w:r>
        <w:rPr>
          <w:rFonts w:ascii="Arial" w:hAnsi="Arial"/>
          <w:sz w:val="24"/>
          <w:szCs w:val="24"/>
        </w:rPr>
        <w:t>– 6 credit points</w:t>
      </w: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r>
        <w:rPr>
          <w:rFonts w:ascii="Arial" w:hAnsi="Arial" w:cs="Arial"/>
          <w:color w:val="1A1A1A"/>
          <w:sz w:val="24"/>
          <w:szCs w:val="24"/>
          <w:lang w:val="en-US"/>
        </w:rPr>
        <w:t xml:space="preserve">Elective coursework units can also be undertaken. The conditions under which additional elective units can be taken are outline below. </w:t>
      </w:r>
    </w:p>
    <w:p w:rsidR="00FC50A0" w:rsidRDefault="00FC50A0" w:rsidP="00834D4F">
      <w:pPr>
        <w:widowControl w:val="0"/>
        <w:autoSpaceDE w:val="0"/>
        <w:autoSpaceDN w:val="0"/>
        <w:adjustRightInd w:val="0"/>
        <w:spacing w:after="0" w:line="240" w:lineRule="auto"/>
        <w:rPr>
          <w:rFonts w:ascii="Arial" w:hAnsi="Arial" w:cs="Arial"/>
          <w:color w:val="1A1A1A"/>
          <w:sz w:val="24"/>
          <w:szCs w:val="24"/>
          <w:lang w:val="en-US"/>
        </w:rPr>
      </w:pPr>
    </w:p>
    <w:p w:rsidR="00FC50A0" w:rsidRDefault="00FC50A0" w:rsidP="00834D4F">
      <w:pPr>
        <w:widowControl w:val="0"/>
        <w:autoSpaceDE w:val="0"/>
        <w:autoSpaceDN w:val="0"/>
        <w:adjustRightInd w:val="0"/>
        <w:spacing w:after="0" w:line="240" w:lineRule="auto"/>
        <w:rPr>
          <w:rFonts w:ascii="Arial" w:hAnsi="Arial" w:cs="Arial"/>
          <w:color w:val="1A1A1A"/>
          <w:sz w:val="24"/>
          <w:szCs w:val="24"/>
          <w:lang w:val="en-US"/>
        </w:rPr>
      </w:pPr>
      <w:proofErr w:type="gramStart"/>
      <w:r>
        <w:rPr>
          <w:rFonts w:ascii="Arial" w:hAnsi="Arial" w:cs="Arial"/>
          <w:color w:val="1A1A1A"/>
          <w:sz w:val="24"/>
          <w:szCs w:val="24"/>
          <w:lang w:val="en-US"/>
        </w:rPr>
        <w:t>Elective coursework units.</w:t>
      </w:r>
      <w:proofErr w:type="gramEnd"/>
      <w:r>
        <w:rPr>
          <w:rFonts w:ascii="Arial" w:hAnsi="Arial" w:cs="Arial"/>
          <w:color w:val="1A1A1A"/>
          <w:sz w:val="24"/>
          <w:szCs w:val="24"/>
          <w:lang w:val="en-US"/>
        </w:rPr>
        <w:t xml:space="preserve"> </w:t>
      </w:r>
    </w:p>
    <w:tbl>
      <w:tblPr>
        <w:tblStyle w:val="TableGrid"/>
        <w:tblW w:w="0" w:type="auto"/>
        <w:tblLook w:val="04A0"/>
      </w:tblPr>
      <w:tblGrid>
        <w:gridCol w:w="4444"/>
        <w:gridCol w:w="1219"/>
      </w:tblGrid>
      <w:tr w:rsidR="00FC50A0" w:rsidRPr="00775DBF">
        <w:trPr>
          <w:trHeight w:val="722"/>
        </w:trPr>
        <w:tc>
          <w:tcPr>
            <w:tcW w:w="0" w:type="auto"/>
            <w:tcBorders>
              <w:right w:val="single" w:sz="4" w:space="0" w:color="auto"/>
            </w:tcBorders>
            <w:shd w:val="clear" w:color="auto" w:fill="FFFFFF" w:themeFill="background1"/>
          </w:tcPr>
          <w:p w:rsidR="00FC50A0" w:rsidRPr="00775DBF" w:rsidRDefault="00FC50A0" w:rsidP="00AA4FF3">
            <w:pPr>
              <w:spacing w:before="60" w:after="60"/>
              <w:rPr>
                <w:rFonts w:ascii="Arial" w:hAnsi="Arial" w:cs="Arial"/>
                <w:b/>
                <w:color w:val="1F497D" w:themeColor="text2"/>
              </w:rPr>
            </w:pPr>
            <w:r w:rsidRPr="00775DBF">
              <w:rPr>
                <w:rFonts w:ascii="Arial" w:hAnsi="Arial" w:cs="Arial"/>
                <w:b/>
                <w:color w:val="1F497D" w:themeColor="text2"/>
              </w:rPr>
              <w:t>Unit Title</w:t>
            </w:r>
          </w:p>
          <w:p w:rsidR="00FC50A0" w:rsidRPr="00775DBF" w:rsidRDefault="00FC50A0" w:rsidP="00AA4FF3">
            <w:pPr>
              <w:spacing w:before="60" w:after="60"/>
              <w:rPr>
                <w:rFonts w:ascii="Arial" w:hAnsi="Arial" w:cs="Arial"/>
                <w:b/>
                <w:color w:val="1F497D" w:themeColor="text2"/>
              </w:rPr>
            </w:pPr>
          </w:p>
        </w:tc>
        <w:tc>
          <w:tcPr>
            <w:tcW w:w="0" w:type="auto"/>
            <w:tcBorders>
              <w:right w:val="single" w:sz="4" w:space="0" w:color="auto"/>
            </w:tcBorders>
            <w:shd w:val="clear" w:color="auto" w:fill="FFFFFF" w:themeFill="background1"/>
          </w:tcPr>
          <w:p w:rsidR="00FC50A0" w:rsidRPr="00775DBF" w:rsidRDefault="00FC50A0" w:rsidP="00AA4FF3">
            <w:pPr>
              <w:spacing w:before="60" w:after="60"/>
              <w:rPr>
                <w:rFonts w:ascii="Arial" w:hAnsi="Arial" w:cs="Arial"/>
                <w:b/>
                <w:color w:val="1F497D" w:themeColor="text2"/>
              </w:rPr>
            </w:pPr>
            <w:r w:rsidRPr="00775DBF">
              <w:rPr>
                <w:rFonts w:ascii="Arial" w:hAnsi="Arial" w:cs="Arial"/>
                <w:b/>
                <w:color w:val="1F497D" w:themeColor="text2"/>
              </w:rPr>
              <w:t>Unit code</w:t>
            </w:r>
          </w:p>
        </w:tc>
      </w:tr>
      <w:tr w:rsidR="00FC50A0" w:rsidRPr="00775DBF">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Pharmaceutical economics</w:t>
            </w:r>
          </w:p>
        </w:tc>
        <w:tc>
          <w:tcPr>
            <w:tcW w:w="0" w:type="auto"/>
            <w:tcBorders>
              <w:right w:val="single" w:sz="4" w:space="0" w:color="auto"/>
            </w:tcBorders>
            <w:shd w:val="clear" w:color="auto" w:fill="FFFFFF" w:themeFill="background1"/>
          </w:tcPr>
          <w:p w:rsidR="00FC50A0" w:rsidRPr="00775DBF" w:rsidRDefault="00FC50A0" w:rsidP="00AA4FF3">
            <w:pPr>
              <w:spacing w:before="60" w:after="60"/>
              <w:rPr>
                <w:rFonts w:ascii="Arial" w:hAnsi="Arial" w:cs="Arial"/>
                <w:color w:val="17365D"/>
                <w:sz w:val="20"/>
                <w:szCs w:val="20"/>
              </w:rPr>
            </w:pPr>
            <w:r>
              <w:rPr>
                <w:rFonts w:ascii="Calibri" w:hAnsi="Calibri" w:cs="Arial"/>
                <w:sz w:val="18"/>
                <w:szCs w:val="18"/>
                <w:lang w:val="ms-MY"/>
              </w:rPr>
              <w:t>ECX9710</w:t>
            </w:r>
          </w:p>
        </w:tc>
      </w:tr>
      <w:tr w:rsidR="00FC50A0" w:rsidRPr="00775DBF">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Economic evaluation in health care</w:t>
            </w:r>
          </w:p>
        </w:tc>
        <w:tc>
          <w:tcPr>
            <w:tcW w:w="0" w:type="auto"/>
            <w:tcBorders>
              <w:right w:val="single" w:sz="4" w:space="0" w:color="auto"/>
            </w:tcBorders>
            <w:shd w:val="clear" w:color="auto" w:fill="FFFFFF" w:themeFill="background1"/>
          </w:tcPr>
          <w:p w:rsidR="00FC50A0" w:rsidRPr="00775DBF" w:rsidRDefault="00FC50A0" w:rsidP="00AA4FF3">
            <w:pPr>
              <w:spacing w:before="60" w:after="60"/>
              <w:rPr>
                <w:rFonts w:ascii="Arial" w:hAnsi="Arial" w:cs="Arial"/>
                <w:sz w:val="20"/>
                <w:szCs w:val="20"/>
              </w:rPr>
            </w:pPr>
            <w:r>
              <w:rPr>
                <w:rFonts w:ascii="Calibri" w:hAnsi="Calibri" w:cs="Arial"/>
                <w:sz w:val="18"/>
                <w:szCs w:val="18"/>
                <w:lang w:val="ms-MY"/>
              </w:rPr>
              <w:t>ECX9730</w:t>
            </w:r>
          </w:p>
        </w:tc>
      </w:tr>
      <w:tr w:rsidR="00FC50A0" w:rsidRPr="00775DBF">
        <w:tc>
          <w:tcPr>
            <w:tcW w:w="0" w:type="auto"/>
            <w:tcBorders>
              <w:right w:val="single" w:sz="4" w:space="0" w:color="auto"/>
            </w:tcBorders>
            <w:shd w:val="clear" w:color="auto" w:fill="FFFFFF" w:themeFill="background1"/>
          </w:tcPr>
          <w:p w:rsidR="00FC50A0" w:rsidRPr="00A52D35" w:rsidRDefault="00FC50A0" w:rsidP="00AA4FF3">
            <w:pPr>
              <w:rPr>
                <w:rFonts w:ascii="Calibri" w:hAnsi="Calibri" w:cs="Arial"/>
                <w:sz w:val="18"/>
                <w:szCs w:val="18"/>
                <w:lang w:val="ms-MY"/>
              </w:rPr>
            </w:pPr>
            <w:r>
              <w:rPr>
                <w:rFonts w:ascii="Calibri" w:hAnsi="Calibri" w:cs="Arial"/>
                <w:sz w:val="18"/>
                <w:szCs w:val="18"/>
                <w:lang w:val="ms-MY"/>
              </w:rPr>
              <w:t>Regression Methods for epidemiology</w:t>
            </w:r>
          </w:p>
        </w:tc>
        <w:tc>
          <w:tcPr>
            <w:tcW w:w="0" w:type="auto"/>
            <w:tcBorders>
              <w:right w:val="single" w:sz="4" w:space="0" w:color="auto"/>
            </w:tcBorders>
            <w:shd w:val="clear" w:color="auto" w:fill="FFFFFF" w:themeFill="background1"/>
          </w:tcPr>
          <w:p w:rsidR="00FC50A0" w:rsidRPr="00775DBF" w:rsidRDefault="00FC50A0" w:rsidP="00AA4FF3">
            <w:pPr>
              <w:spacing w:before="60" w:after="60"/>
              <w:rPr>
                <w:rFonts w:ascii="Arial" w:hAnsi="Arial" w:cs="Arial"/>
                <w:sz w:val="20"/>
                <w:szCs w:val="20"/>
              </w:rPr>
            </w:pPr>
            <w:r>
              <w:rPr>
                <w:rFonts w:ascii="Calibri" w:hAnsi="Calibri" w:cs="Arial"/>
                <w:sz w:val="18"/>
                <w:szCs w:val="18"/>
                <w:lang w:val="ms-MY"/>
              </w:rPr>
              <w:t>MPH5200</w:t>
            </w:r>
          </w:p>
        </w:tc>
      </w:tr>
      <w:tr w:rsidR="00FC50A0" w:rsidRPr="00775DBF">
        <w:tc>
          <w:tcPr>
            <w:tcW w:w="0" w:type="auto"/>
            <w:tcBorders>
              <w:right w:val="single" w:sz="4" w:space="0" w:color="auto"/>
            </w:tcBorders>
            <w:shd w:val="clear" w:color="auto" w:fill="FFFFFF" w:themeFill="background1"/>
          </w:tcPr>
          <w:p w:rsidR="00FC50A0" w:rsidRPr="001A3C1F" w:rsidRDefault="00FC50A0" w:rsidP="00AA4FF3">
            <w:pPr>
              <w:rPr>
                <w:rFonts w:ascii="Calibri" w:hAnsi="Calibri" w:cs="Arial"/>
                <w:sz w:val="18"/>
                <w:szCs w:val="18"/>
                <w:lang w:val="ms-MY"/>
              </w:rPr>
            </w:pPr>
            <w:r>
              <w:rPr>
                <w:rFonts w:ascii="Calibri" w:hAnsi="Calibri" w:cs="Arial"/>
                <w:sz w:val="18"/>
                <w:szCs w:val="18"/>
                <w:lang w:val="ms-MY"/>
              </w:rPr>
              <w:t>Clinical Epidemiology</w:t>
            </w:r>
          </w:p>
        </w:tc>
        <w:tc>
          <w:tcPr>
            <w:tcW w:w="0" w:type="auto"/>
            <w:tcBorders>
              <w:right w:val="single" w:sz="4" w:space="0" w:color="auto"/>
            </w:tcBorders>
            <w:shd w:val="clear" w:color="auto" w:fill="FFFFFF" w:themeFill="background1"/>
          </w:tcPr>
          <w:p w:rsidR="00FC50A0" w:rsidRPr="00775DBF" w:rsidRDefault="00FC50A0" w:rsidP="00AA4FF3">
            <w:pPr>
              <w:spacing w:before="60" w:after="60"/>
              <w:rPr>
                <w:rFonts w:ascii="Arial" w:hAnsi="Arial" w:cs="Arial"/>
                <w:sz w:val="20"/>
                <w:szCs w:val="20"/>
              </w:rPr>
            </w:pPr>
            <w:r>
              <w:rPr>
                <w:rFonts w:ascii="Calibri" w:hAnsi="Calibri" w:cs="Arial"/>
                <w:sz w:val="18"/>
                <w:szCs w:val="18"/>
                <w:lang w:val="ms-MY"/>
              </w:rPr>
              <w:t>MPH5202</w:t>
            </w:r>
          </w:p>
        </w:tc>
      </w:tr>
      <w:tr w:rsidR="00FC50A0" w:rsidRPr="00775DBF">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Chronic disease:epidemiology &amp; prevention</w:t>
            </w:r>
          </w:p>
        </w:tc>
        <w:tc>
          <w:tcPr>
            <w:tcW w:w="0" w:type="auto"/>
            <w:tcBorders>
              <w:right w:val="single" w:sz="4" w:space="0" w:color="auto"/>
            </w:tcBorders>
            <w:shd w:val="clear" w:color="auto" w:fill="FFFFFF" w:themeFill="background1"/>
          </w:tcPr>
          <w:p w:rsidR="00FC50A0" w:rsidRPr="00775DBF" w:rsidRDefault="00FC50A0" w:rsidP="00AA4FF3">
            <w:pPr>
              <w:spacing w:before="60" w:after="60"/>
              <w:rPr>
                <w:rFonts w:ascii="Arial" w:hAnsi="Arial" w:cs="Arial"/>
                <w:sz w:val="20"/>
                <w:szCs w:val="20"/>
              </w:rPr>
            </w:pPr>
            <w:r>
              <w:rPr>
                <w:rFonts w:ascii="Calibri" w:hAnsi="Calibri" w:cs="Arial"/>
                <w:sz w:val="18"/>
                <w:szCs w:val="18"/>
                <w:lang w:val="ms-MY"/>
              </w:rPr>
              <w:t>MPH5207</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Research methods</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MPH5213</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Infectious Disease Epidemiology</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MPH5218</w:t>
            </w:r>
          </w:p>
        </w:tc>
      </w:tr>
      <w:tr w:rsidR="00FC50A0" w:rsidRPr="00804BCA">
        <w:tc>
          <w:tcPr>
            <w:tcW w:w="0" w:type="auto"/>
            <w:tcBorders>
              <w:right w:val="single" w:sz="4" w:space="0" w:color="auto"/>
            </w:tcBorders>
            <w:shd w:val="clear" w:color="auto" w:fill="FFFFFF" w:themeFill="background1"/>
          </w:tcPr>
          <w:p w:rsidR="00FC50A0" w:rsidRPr="00804BCA" w:rsidRDefault="00FC50A0" w:rsidP="00AA4FF3">
            <w:pPr>
              <w:rPr>
                <w:rFonts w:ascii="Calibri" w:hAnsi="Calibri" w:cs="Arial"/>
                <w:sz w:val="18"/>
                <w:szCs w:val="18"/>
                <w:lang w:val="ms-MY"/>
              </w:rPr>
            </w:pPr>
            <w:r>
              <w:rPr>
                <w:rFonts w:ascii="Calibri" w:hAnsi="Calibri" w:cs="Arial"/>
                <w:sz w:val="18"/>
                <w:szCs w:val="18"/>
                <w:lang w:val="ms-MY"/>
              </w:rPr>
              <w:t>Clinical trials (OCL)</w:t>
            </w:r>
          </w:p>
        </w:tc>
        <w:tc>
          <w:tcPr>
            <w:tcW w:w="0" w:type="auto"/>
            <w:tcBorders>
              <w:right w:val="single" w:sz="4" w:space="0" w:color="auto"/>
            </w:tcBorders>
            <w:shd w:val="clear" w:color="auto" w:fill="FFFFFF" w:themeFill="background1"/>
          </w:tcPr>
          <w:p w:rsidR="00FC50A0" w:rsidRPr="00804BCA" w:rsidRDefault="00FC50A0" w:rsidP="00AA4FF3">
            <w:pPr>
              <w:rPr>
                <w:rFonts w:ascii="Calibri" w:hAnsi="Calibri" w:cs="Arial"/>
                <w:sz w:val="18"/>
                <w:szCs w:val="18"/>
                <w:lang w:val="ms-MY"/>
              </w:rPr>
            </w:pPr>
            <w:r>
              <w:rPr>
                <w:rFonts w:ascii="Calibri" w:hAnsi="Calibri" w:cs="Arial"/>
                <w:sz w:val="18"/>
                <w:szCs w:val="18"/>
                <w:lang w:val="ms-MY"/>
              </w:rPr>
              <w:t>MPH5236</w:t>
            </w:r>
          </w:p>
        </w:tc>
      </w:tr>
      <w:tr w:rsidR="00FC50A0" w:rsidRPr="00045F9E">
        <w:tc>
          <w:tcPr>
            <w:tcW w:w="0" w:type="auto"/>
            <w:tcBorders>
              <w:right w:val="single" w:sz="4" w:space="0" w:color="auto"/>
            </w:tcBorders>
            <w:shd w:val="clear" w:color="auto" w:fill="FFFFFF" w:themeFill="background1"/>
          </w:tcPr>
          <w:p w:rsidR="00FC50A0" w:rsidRPr="00045F9E" w:rsidRDefault="00FC50A0" w:rsidP="00AA4FF3">
            <w:pPr>
              <w:rPr>
                <w:rFonts w:ascii="Calibri" w:hAnsi="Calibri" w:cs="Arial"/>
                <w:sz w:val="18"/>
                <w:szCs w:val="18"/>
                <w:lang w:val="ms-MY"/>
              </w:rPr>
            </w:pPr>
            <w:r>
              <w:rPr>
                <w:rFonts w:ascii="Calibri" w:hAnsi="Calibri" w:cs="Arial"/>
                <w:sz w:val="18"/>
                <w:szCs w:val="18"/>
                <w:lang w:val="ms-MY"/>
              </w:rPr>
              <w:t>Measurement in clinical research</w:t>
            </w:r>
          </w:p>
        </w:tc>
        <w:tc>
          <w:tcPr>
            <w:tcW w:w="0" w:type="auto"/>
            <w:tcBorders>
              <w:right w:val="single" w:sz="4" w:space="0" w:color="auto"/>
            </w:tcBorders>
            <w:shd w:val="clear" w:color="auto" w:fill="FFFFFF" w:themeFill="background1"/>
          </w:tcPr>
          <w:p w:rsidR="00FC50A0" w:rsidRPr="00045F9E" w:rsidRDefault="00FC50A0" w:rsidP="00AA4FF3">
            <w:pPr>
              <w:rPr>
                <w:rFonts w:ascii="Calibri" w:hAnsi="Calibri" w:cs="Arial"/>
                <w:sz w:val="18"/>
                <w:szCs w:val="18"/>
                <w:lang w:val="ms-MY"/>
              </w:rPr>
            </w:pPr>
            <w:r>
              <w:rPr>
                <w:rFonts w:ascii="Calibri" w:hAnsi="Calibri" w:cs="Arial"/>
                <w:sz w:val="18"/>
                <w:szCs w:val="18"/>
                <w:lang w:val="ms-MY"/>
              </w:rPr>
              <w:t>MPH5237</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Systemic Reviews and meta analysis</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MPH5239</w:t>
            </w:r>
          </w:p>
        </w:tc>
      </w:tr>
      <w:tr w:rsidR="00FC50A0" w:rsidRPr="00804BCA">
        <w:tc>
          <w:tcPr>
            <w:tcW w:w="0" w:type="auto"/>
            <w:tcBorders>
              <w:right w:val="single" w:sz="4" w:space="0" w:color="auto"/>
            </w:tcBorders>
            <w:shd w:val="clear" w:color="auto" w:fill="FFFFFF" w:themeFill="background1"/>
          </w:tcPr>
          <w:p w:rsidR="00FC50A0" w:rsidRPr="00804BCA" w:rsidRDefault="00FC50A0" w:rsidP="00AA4FF3">
            <w:pPr>
              <w:rPr>
                <w:rFonts w:ascii="Calibri" w:hAnsi="Calibri" w:cs="Arial"/>
                <w:sz w:val="18"/>
                <w:szCs w:val="18"/>
                <w:lang w:val="ms-MY"/>
              </w:rPr>
            </w:pPr>
            <w:r>
              <w:rPr>
                <w:rFonts w:ascii="Calibri" w:hAnsi="Calibri" w:cs="Arial"/>
                <w:sz w:val="18"/>
                <w:szCs w:val="18"/>
                <w:lang w:val="ms-MY"/>
              </w:rPr>
              <w:t xml:space="preserve">Health &amp; Human Rights </w:t>
            </w:r>
          </w:p>
        </w:tc>
        <w:tc>
          <w:tcPr>
            <w:tcW w:w="0" w:type="auto"/>
            <w:tcBorders>
              <w:right w:val="single" w:sz="4" w:space="0" w:color="auto"/>
            </w:tcBorders>
            <w:shd w:val="clear" w:color="auto" w:fill="FFFFFF" w:themeFill="background1"/>
          </w:tcPr>
          <w:p w:rsidR="00FC50A0" w:rsidRPr="00804BCA" w:rsidRDefault="00FC50A0" w:rsidP="00AA4FF3">
            <w:pPr>
              <w:rPr>
                <w:rFonts w:ascii="Calibri" w:hAnsi="Calibri" w:cs="Arial"/>
                <w:sz w:val="18"/>
                <w:szCs w:val="18"/>
                <w:lang w:val="ms-MY"/>
              </w:rPr>
            </w:pPr>
            <w:r>
              <w:rPr>
                <w:rFonts w:ascii="Calibri" w:hAnsi="Calibri" w:cs="Arial"/>
                <w:sz w:val="18"/>
                <w:szCs w:val="18"/>
                <w:lang w:val="ms-MY"/>
              </w:rPr>
              <w:t>MPH5255</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Injury, epidemiology &amp; prevention</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MPH5256</w:t>
            </w:r>
          </w:p>
        </w:tc>
      </w:tr>
      <w:tr w:rsidR="00FC50A0">
        <w:tc>
          <w:tcPr>
            <w:tcW w:w="0" w:type="auto"/>
            <w:tcBorders>
              <w:right w:val="single" w:sz="4" w:space="0" w:color="auto"/>
            </w:tcBorders>
            <w:shd w:val="clear" w:color="auto" w:fill="FFFFFF" w:themeFill="background1"/>
          </w:tcPr>
          <w:p w:rsidR="00FC50A0" w:rsidRPr="00D312BF" w:rsidRDefault="00FC50A0" w:rsidP="00AA4FF3">
            <w:pPr>
              <w:rPr>
                <w:rFonts w:cstheme="minorHAnsi"/>
                <w:sz w:val="18"/>
                <w:szCs w:val="18"/>
                <w:lang w:val="ms-MY"/>
              </w:rPr>
            </w:pPr>
            <w:r w:rsidRPr="00D312BF">
              <w:rPr>
                <w:rFonts w:cstheme="minorHAnsi"/>
                <w:sz w:val="18"/>
                <w:szCs w:val="18"/>
              </w:rPr>
              <w:t>Health policy and prevention in a global world</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MPH5260</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 xml:space="preserve">Law for health systems </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MPH5265</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Clinical Leadership and Manaagement</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MPH5266</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 xml:space="preserve">Foundations of Health Policy </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MPH5269</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Advanced statistical methods for clinical research</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MPH5270</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Reform &amp; development of health services</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MPH5272</w:t>
            </w:r>
          </w:p>
        </w:tc>
      </w:tr>
      <w:tr w:rsidR="00FC50A0" w:rsidRPr="00045F9E">
        <w:tc>
          <w:tcPr>
            <w:tcW w:w="0" w:type="auto"/>
            <w:tcBorders>
              <w:right w:val="single" w:sz="4" w:space="0" w:color="auto"/>
            </w:tcBorders>
            <w:shd w:val="clear" w:color="auto" w:fill="FFFFFF" w:themeFill="background1"/>
          </w:tcPr>
          <w:p w:rsidR="00FC50A0" w:rsidRPr="00045F9E" w:rsidRDefault="00FC50A0" w:rsidP="00AA4FF3">
            <w:pPr>
              <w:rPr>
                <w:rFonts w:ascii="Calibri" w:hAnsi="Calibri" w:cs="Arial"/>
                <w:sz w:val="18"/>
                <w:szCs w:val="18"/>
                <w:lang w:val="ms-MY"/>
              </w:rPr>
            </w:pPr>
            <w:r>
              <w:rPr>
                <w:rFonts w:ascii="Calibri" w:hAnsi="Calibri" w:cs="Arial"/>
                <w:sz w:val="18"/>
                <w:szCs w:val="18"/>
                <w:lang w:val="ms-MY"/>
              </w:rPr>
              <w:t>Data management &amp; Computing</w:t>
            </w:r>
          </w:p>
        </w:tc>
        <w:tc>
          <w:tcPr>
            <w:tcW w:w="0" w:type="auto"/>
            <w:tcBorders>
              <w:right w:val="single" w:sz="4" w:space="0" w:color="auto"/>
            </w:tcBorders>
            <w:shd w:val="clear" w:color="auto" w:fill="FFFFFF" w:themeFill="background1"/>
          </w:tcPr>
          <w:p w:rsidR="00FC50A0" w:rsidRPr="00045F9E" w:rsidRDefault="00FC50A0" w:rsidP="00AA4FF3">
            <w:pPr>
              <w:rPr>
                <w:rFonts w:ascii="Calibri" w:hAnsi="Calibri" w:cs="Arial"/>
                <w:sz w:val="18"/>
                <w:szCs w:val="18"/>
                <w:lang w:val="ms-MY"/>
              </w:rPr>
            </w:pPr>
            <w:r>
              <w:rPr>
                <w:rFonts w:ascii="Calibri" w:hAnsi="Calibri" w:cs="Arial"/>
                <w:sz w:val="18"/>
                <w:szCs w:val="18"/>
                <w:lang w:val="ms-MY"/>
              </w:rPr>
              <w:t>MPH5277</w:t>
            </w:r>
          </w:p>
        </w:tc>
      </w:tr>
      <w:tr w:rsidR="00FC50A0">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Ethics, good research practice and practical research skills</w:t>
            </w:r>
          </w:p>
        </w:tc>
        <w:tc>
          <w:tcPr>
            <w:tcW w:w="0" w:type="auto"/>
            <w:tcBorders>
              <w:right w:val="single" w:sz="4" w:space="0" w:color="auto"/>
            </w:tcBorders>
            <w:shd w:val="clear" w:color="auto" w:fill="FFFFFF" w:themeFill="background1"/>
          </w:tcPr>
          <w:p w:rsidR="00FC50A0" w:rsidRDefault="00FC50A0" w:rsidP="00AA4FF3">
            <w:pPr>
              <w:rPr>
                <w:rFonts w:ascii="Calibri" w:hAnsi="Calibri" w:cs="Arial"/>
                <w:sz w:val="18"/>
                <w:szCs w:val="18"/>
                <w:lang w:val="ms-MY"/>
              </w:rPr>
            </w:pPr>
            <w:r>
              <w:rPr>
                <w:rFonts w:ascii="Calibri" w:hAnsi="Calibri" w:cs="Arial"/>
                <w:sz w:val="18"/>
                <w:szCs w:val="18"/>
                <w:lang w:val="ms-MY"/>
              </w:rPr>
              <w:t>MPH5283</w:t>
            </w:r>
          </w:p>
        </w:tc>
      </w:tr>
      <w:tr w:rsidR="00FC50A0" w:rsidRPr="00185C11">
        <w:tc>
          <w:tcPr>
            <w:tcW w:w="0" w:type="auto"/>
            <w:tcBorders>
              <w:right w:val="single" w:sz="4" w:space="0" w:color="auto"/>
            </w:tcBorders>
            <w:shd w:val="clear" w:color="auto" w:fill="FFFFFF" w:themeFill="background1"/>
          </w:tcPr>
          <w:p w:rsidR="00FC50A0" w:rsidRPr="0014017D" w:rsidRDefault="00FC50A0" w:rsidP="00AA4FF3">
            <w:pPr>
              <w:rPr>
                <w:rFonts w:ascii="Calibri" w:hAnsi="Calibri" w:cs="Arial"/>
                <w:sz w:val="18"/>
                <w:szCs w:val="18"/>
                <w:lang w:val="ms-MY"/>
              </w:rPr>
            </w:pPr>
            <w:r w:rsidRPr="0014017D">
              <w:rPr>
                <w:rFonts w:cstheme="minorHAnsi"/>
                <w:color w:val="333333"/>
                <w:sz w:val="18"/>
                <w:szCs w:val="18"/>
              </w:rPr>
              <w:t>Medical evidence</w:t>
            </w:r>
          </w:p>
        </w:tc>
        <w:tc>
          <w:tcPr>
            <w:tcW w:w="0" w:type="auto"/>
            <w:tcBorders>
              <w:right w:val="single" w:sz="4" w:space="0" w:color="auto"/>
            </w:tcBorders>
            <w:shd w:val="clear" w:color="auto" w:fill="FFFFFF" w:themeFill="background1"/>
          </w:tcPr>
          <w:p w:rsidR="00FC50A0" w:rsidRPr="00185C11" w:rsidRDefault="00FC50A0" w:rsidP="00AA4FF3">
            <w:pPr>
              <w:rPr>
                <w:rFonts w:ascii="Calibri" w:hAnsi="Calibri" w:cs="Arial"/>
                <w:sz w:val="18"/>
                <w:szCs w:val="18"/>
                <w:lang w:val="ms-MY"/>
              </w:rPr>
            </w:pPr>
            <w:r w:rsidRPr="00185C11">
              <w:rPr>
                <w:rFonts w:cstheme="minorHAnsi"/>
                <w:color w:val="333333"/>
                <w:sz w:val="18"/>
                <w:szCs w:val="18"/>
              </w:rPr>
              <w:t>FOR4001</w:t>
            </w:r>
          </w:p>
        </w:tc>
      </w:tr>
      <w:tr w:rsidR="00FC50A0" w:rsidRPr="00185C11">
        <w:tc>
          <w:tcPr>
            <w:tcW w:w="0" w:type="auto"/>
            <w:tcBorders>
              <w:right w:val="single" w:sz="4" w:space="0" w:color="auto"/>
            </w:tcBorders>
            <w:shd w:val="clear" w:color="auto" w:fill="FFFFFF" w:themeFill="background1"/>
          </w:tcPr>
          <w:p w:rsidR="00FC50A0" w:rsidRPr="0014017D" w:rsidRDefault="00FC50A0" w:rsidP="00AA4FF3">
            <w:pPr>
              <w:rPr>
                <w:rFonts w:ascii="Calibri" w:hAnsi="Calibri" w:cs="Arial"/>
                <w:sz w:val="18"/>
                <w:szCs w:val="18"/>
                <w:lang w:val="ms-MY"/>
              </w:rPr>
            </w:pPr>
            <w:r w:rsidRPr="0014017D">
              <w:rPr>
                <w:rFonts w:cstheme="minorHAnsi"/>
                <w:color w:val="333333"/>
                <w:sz w:val="18"/>
                <w:szCs w:val="18"/>
              </w:rPr>
              <w:t>Ethics, medicine and the law</w:t>
            </w:r>
          </w:p>
        </w:tc>
        <w:tc>
          <w:tcPr>
            <w:tcW w:w="0" w:type="auto"/>
            <w:tcBorders>
              <w:right w:val="single" w:sz="4" w:space="0" w:color="auto"/>
            </w:tcBorders>
            <w:shd w:val="clear" w:color="auto" w:fill="FFFFFF" w:themeFill="background1"/>
          </w:tcPr>
          <w:p w:rsidR="00FC50A0" w:rsidRPr="00185C11" w:rsidRDefault="00FC50A0" w:rsidP="00AA4FF3">
            <w:pPr>
              <w:rPr>
                <w:rFonts w:ascii="Calibri" w:hAnsi="Calibri" w:cs="Arial"/>
                <w:sz w:val="18"/>
                <w:szCs w:val="18"/>
                <w:lang w:val="ms-MY"/>
              </w:rPr>
            </w:pPr>
            <w:r w:rsidRPr="00185C11">
              <w:rPr>
                <w:rFonts w:cstheme="minorHAnsi"/>
                <w:color w:val="333333"/>
                <w:sz w:val="18"/>
                <w:szCs w:val="18"/>
              </w:rPr>
              <w:t>FOR4003</w:t>
            </w:r>
          </w:p>
        </w:tc>
      </w:tr>
      <w:tr w:rsidR="00FC50A0" w:rsidRPr="00185C11">
        <w:tc>
          <w:tcPr>
            <w:tcW w:w="0" w:type="auto"/>
            <w:tcBorders>
              <w:right w:val="single" w:sz="4" w:space="0" w:color="auto"/>
            </w:tcBorders>
            <w:shd w:val="clear" w:color="auto" w:fill="FFFFFF" w:themeFill="background1"/>
          </w:tcPr>
          <w:p w:rsidR="00FC50A0" w:rsidRPr="0014017D" w:rsidRDefault="00FC50A0" w:rsidP="00AA4FF3">
            <w:pPr>
              <w:rPr>
                <w:rFonts w:ascii="Calibri" w:hAnsi="Calibri" w:cs="Arial"/>
                <w:sz w:val="18"/>
                <w:szCs w:val="18"/>
                <w:lang w:val="ms-MY"/>
              </w:rPr>
            </w:pPr>
            <w:r w:rsidRPr="0014017D">
              <w:rPr>
                <w:rFonts w:cstheme="minorHAnsi"/>
                <w:color w:val="333333"/>
                <w:sz w:val="18"/>
                <w:szCs w:val="18"/>
              </w:rPr>
              <w:t>Elements of the forensic sciences</w:t>
            </w:r>
          </w:p>
        </w:tc>
        <w:tc>
          <w:tcPr>
            <w:tcW w:w="0" w:type="auto"/>
            <w:tcBorders>
              <w:right w:val="single" w:sz="4" w:space="0" w:color="auto"/>
            </w:tcBorders>
            <w:shd w:val="clear" w:color="auto" w:fill="FFFFFF" w:themeFill="background1"/>
          </w:tcPr>
          <w:p w:rsidR="00FC50A0" w:rsidRPr="00185C11" w:rsidRDefault="00FC50A0" w:rsidP="00AA4FF3">
            <w:pPr>
              <w:rPr>
                <w:rFonts w:ascii="Calibri" w:hAnsi="Calibri" w:cs="Arial"/>
                <w:sz w:val="18"/>
                <w:szCs w:val="18"/>
                <w:lang w:val="ms-MY"/>
              </w:rPr>
            </w:pPr>
            <w:r w:rsidRPr="00185C11">
              <w:rPr>
                <w:rFonts w:cstheme="minorHAnsi"/>
                <w:color w:val="333333"/>
                <w:sz w:val="18"/>
                <w:szCs w:val="18"/>
              </w:rPr>
              <w:t>FOR4004</w:t>
            </w:r>
          </w:p>
        </w:tc>
      </w:tr>
      <w:tr w:rsidR="00FC50A0" w:rsidRPr="00185C11">
        <w:tc>
          <w:tcPr>
            <w:tcW w:w="0" w:type="auto"/>
            <w:tcBorders>
              <w:right w:val="single" w:sz="4" w:space="0" w:color="auto"/>
            </w:tcBorders>
            <w:shd w:val="clear" w:color="auto" w:fill="FFFFFF" w:themeFill="background1"/>
          </w:tcPr>
          <w:p w:rsidR="00FC50A0" w:rsidRPr="0014017D" w:rsidRDefault="00FC50A0" w:rsidP="00AA4FF3">
            <w:pPr>
              <w:rPr>
                <w:rFonts w:ascii="Calibri" w:hAnsi="Calibri" w:cs="Arial"/>
                <w:sz w:val="18"/>
                <w:szCs w:val="18"/>
                <w:lang w:val="ms-MY"/>
              </w:rPr>
            </w:pPr>
            <w:r w:rsidRPr="0014017D">
              <w:rPr>
                <w:rFonts w:cstheme="minorHAnsi"/>
                <w:color w:val="333333"/>
                <w:sz w:val="18"/>
                <w:szCs w:val="18"/>
              </w:rPr>
              <w:t xml:space="preserve">Elements of forensic </w:t>
            </w:r>
            <w:proofErr w:type="spellStart"/>
            <w:r w:rsidRPr="0014017D">
              <w:rPr>
                <w:rFonts w:cstheme="minorHAnsi"/>
                <w:color w:val="333333"/>
                <w:sz w:val="18"/>
                <w:szCs w:val="18"/>
              </w:rPr>
              <w:t>odontology</w:t>
            </w:r>
            <w:proofErr w:type="spellEnd"/>
          </w:p>
        </w:tc>
        <w:tc>
          <w:tcPr>
            <w:tcW w:w="0" w:type="auto"/>
            <w:tcBorders>
              <w:right w:val="single" w:sz="4" w:space="0" w:color="auto"/>
            </w:tcBorders>
            <w:shd w:val="clear" w:color="auto" w:fill="FFFFFF" w:themeFill="background1"/>
          </w:tcPr>
          <w:p w:rsidR="00FC50A0" w:rsidRPr="00185C11" w:rsidRDefault="00FC50A0" w:rsidP="00AA4FF3">
            <w:pPr>
              <w:rPr>
                <w:rFonts w:cstheme="minorHAnsi"/>
                <w:color w:val="333333"/>
                <w:sz w:val="18"/>
                <w:szCs w:val="18"/>
              </w:rPr>
            </w:pPr>
            <w:r w:rsidRPr="00185C11">
              <w:rPr>
                <w:rFonts w:cstheme="minorHAnsi"/>
                <w:color w:val="333333"/>
                <w:sz w:val="18"/>
                <w:szCs w:val="18"/>
              </w:rPr>
              <w:t>FOR4007</w:t>
            </w:r>
          </w:p>
        </w:tc>
      </w:tr>
      <w:tr w:rsidR="00FC50A0" w:rsidRPr="00185C11">
        <w:tc>
          <w:tcPr>
            <w:tcW w:w="0" w:type="auto"/>
            <w:tcBorders>
              <w:right w:val="single" w:sz="4" w:space="0" w:color="auto"/>
            </w:tcBorders>
            <w:shd w:val="clear" w:color="auto" w:fill="FFFFFF" w:themeFill="background1"/>
          </w:tcPr>
          <w:p w:rsidR="00FC50A0" w:rsidRPr="0014017D" w:rsidRDefault="00FC50A0" w:rsidP="00AA4FF3">
            <w:pPr>
              <w:rPr>
                <w:rFonts w:ascii="Calibri" w:hAnsi="Calibri"/>
                <w:color w:val="000000"/>
                <w:sz w:val="18"/>
                <w:szCs w:val="18"/>
              </w:rPr>
            </w:pPr>
            <w:r w:rsidRPr="0014017D">
              <w:rPr>
                <w:rFonts w:cstheme="minorHAnsi"/>
                <w:color w:val="333333"/>
                <w:sz w:val="18"/>
                <w:szCs w:val="18"/>
              </w:rPr>
              <w:t>Elements of forensic toxicology</w:t>
            </w:r>
          </w:p>
        </w:tc>
        <w:tc>
          <w:tcPr>
            <w:tcW w:w="0" w:type="auto"/>
            <w:tcBorders>
              <w:right w:val="single" w:sz="4" w:space="0" w:color="auto"/>
            </w:tcBorders>
            <w:shd w:val="clear" w:color="auto" w:fill="FFFFFF" w:themeFill="background1"/>
          </w:tcPr>
          <w:p w:rsidR="00FC50A0" w:rsidRPr="00185C11" w:rsidRDefault="00FC50A0" w:rsidP="00AA4FF3">
            <w:pPr>
              <w:rPr>
                <w:rFonts w:ascii="Calibri" w:hAnsi="Calibri" w:cs="Arial"/>
                <w:sz w:val="18"/>
                <w:szCs w:val="18"/>
                <w:lang w:val="ms-MY"/>
              </w:rPr>
            </w:pPr>
            <w:r w:rsidRPr="00185C11">
              <w:rPr>
                <w:rFonts w:cstheme="minorHAnsi"/>
                <w:color w:val="333333"/>
                <w:sz w:val="18"/>
                <w:szCs w:val="18"/>
              </w:rPr>
              <w:t>FOR5007</w:t>
            </w:r>
          </w:p>
        </w:tc>
      </w:tr>
    </w:tbl>
    <w:p w:rsidR="00FC50A0" w:rsidRDefault="00FC50A0" w:rsidP="00834D4F">
      <w:pPr>
        <w:widowControl w:val="0"/>
        <w:autoSpaceDE w:val="0"/>
        <w:autoSpaceDN w:val="0"/>
        <w:adjustRightInd w:val="0"/>
        <w:spacing w:after="0" w:line="240" w:lineRule="auto"/>
        <w:rPr>
          <w:rFonts w:ascii="Arial" w:hAnsi="Arial" w:cs="Arial"/>
          <w:color w:val="1A1A1A"/>
          <w:sz w:val="24"/>
          <w:szCs w:val="24"/>
          <w:lang w:val="en-US"/>
        </w:rPr>
      </w:pPr>
    </w:p>
    <w:p w:rsidR="00FC50A0" w:rsidRDefault="00FC50A0" w:rsidP="00834D4F">
      <w:pPr>
        <w:widowControl w:val="0"/>
        <w:autoSpaceDE w:val="0"/>
        <w:autoSpaceDN w:val="0"/>
        <w:adjustRightInd w:val="0"/>
        <w:spacing w:after="0" w:line="240" w:lineRule="auto"/>
        <w:rPr>
          <w:rFonts w:ascii="Arial" w:hAnsi="Arial" w:cs="Arial"/>
          <w:color w:val="1A1A1A"/>
          <w:sz w:val="24"/>
          <w:szCs w:val="24"/>
          <w:lang w:val="en-US"/>
        </w:rPr>
      </w:pPr>
    </w:p>
    <w:p w:rsidR="00FC50A0" w:rsidRDefault="00FC50A0" w:rsidP="00834D4F">
      <w:pPr>
        <w:widowControl w:val="0"/>
        <w:autoSpaceDE w:val="0"/>
        <w:autoSpaceDN w:val="0"/>
        <w:adjustRightInd w:val="0"/>
        <w:spacing w:after="0" w:line="240" w:lineRule="auto"/>
        <w:rPr>
          <w:rFonts w:ascii="Arial" w:hAnsi="Arial" w:cs="Arial"/>
          <w:color w:val="1A1A1A"/>
          <w:sz w:val="24"/>
          <w:szCs w:val="24"/>
          <w:lang w:val="en-US"/>
        </w:rPr>
      </w:pP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p>
    <w:p w:rsidR="00834D4F" w:rsidRPr="00E50732" w:rsidRDefault="00834D4F" w:rsidP="00834D4F">
      <w:pPr>
        <w:widowControl w:val="0"/>
        <w:autoSpaceDE w:val="0"/>
        <w:autoSpaceDN w:val="0"/>
        <w:adjustRightInd w:val="0"/>
        <w:spacing w:after="0" w:line="240" w:lineRule="auto"/>
        <w:rPr>
          <w:rFonts w:ascii="Arial" w:hAnsi="Arial" w:cs="Arial"/>
          <w:color w:val="1A1A1A"/>
          <w:sz w:val="24"/>
          <w:szCs w:val="24"/>
          <w:lang w:val="en-US"/>
        </w:rPr>
      </w:pPr>
      <w:r>
        <w:rPr>
          <w:rFonts w:ascii="Arial" w:hAnsi="Arial" w:cs="Arial"/>
          <w:color w:val="1A1A1A"/>
          <w:sz w:val="24"/>
          <w:szCs w:val="24"/>
          <w:lang w:val="en-US"/>
        </w:rPr>
        <w:t>With respect to the elective</w:t>
      </w:r>
      <w:r w:rsidRPr="00E50732">
        <w:rPr>
          <w:rFonts w:ascii="Arial" w:hAnsi="Arial" w:cs="Arial"/>
          <w:color w:val="1A1A1A"/>
          <w:sz w:val="24"/>
          <w:szCs w:val="24"/>
          <w:lang w:val="en-US"/>
        </w:rPr>
        <w:t xml:space="preserve"> units:</w:t>
      </w:r>
    </w:p>
    <w:p w:rsidR="00834D4F" w:rsidRPr="00E50732" w:rsidRDefault="00834D4F" w:rsidP="00834D4F">
      <w:pPr>
        <w:widowControl w:val="0"/>
        <w:autoSpaceDE w:val="0"/>
        <w:autoSpaceDN w:val="0"/>
        <w:adjustRightInd w:val="0"/>
        <w:spacing w:after="0" w:line="240" w:lineRule="auto"/>
        <w:rPr>
          <w:rFonts w:ascii="Arial" w:hAnsi="Arial" w:cs="Arial"/>
          <w:color w:val="1A1A1A"/>
          <w:sz w:val="24"/>
          <w:szCs w:val="24"/>
          <w:lang w:val="en-US"/>
        </w:rPr>
      </w:pPr>
    </w:p>
    <w:p w:rsidR="00834D4F" w:rsidRPr="00E50732" w:rsidRDefault="00834D4F" w:rsidP="00834D4F">
      <w:pPr>
        <w:widowControl w:val="0"/>
        <w:autoSpaceDE w:val="0"/>
        <w:autoSpaceDN w:val="0"/>
        <w:adjustRightInd w:val="0"/>
        <w:spacing w:after="0" w:line="240" w:lineRule="auto"/>
        <w:rPr>
          <w:rFonts w:ascii="Arial" w:hAnsi="Arial" w:cs="Arial"/>
          <w:color w:val="1A1A1A"/>
          <w:sz w:val="24"/>
          <w:szCs w:val="24"/>
          <w:lang w:val="en-US"/>
        </w:rPr>
      </w:pPr>
      <w:r w:rsidRPr="00F57945">
        <w:rPr>
          <w:rFonts w:ascii="Arial" w:hAnsi="Arial" w:cs="Arial"/>
          <w:color w:val="141414"/>
          <w:sz w:val="24"/>
          <w:szCs w:val="24"/>
          <w:lang w:val="en-US"/>
        </w:rPr>
        <w:t>With the agreement of the SPHPM PhD program coordinator and a student's main supervisor, a student may additionally undertake up to two of the elective units. While this is not mandatory, it is strongly encouraged in order to add breadth to the student's training.</w:t>
      </w:r>
    </w:p>
    <w:p w:rsidR="00834D4F" w:rsidRPr="00E50732" w:rsidRDefault="00834D4F" w:rsidP="00834D4F">
      <w:pPr>
        <w:widowControl w:val="0"/>
        <w:autoSpaceDE w:val="0"/>
        <w:autoSpaceDN w:val="0"/>
        <w:adjustRightInd w:val="0"/>
        <w:spacing w:after="0" w:line="240" w:lineRule="auto"/>
        <w:rPr>
          <w:rFonts w:ascii="Arial" w:hAnsi="Arial" w:cs="Arial"/>
          <w:color w:val="1A1A1A"/>
          <w:sz w:val="24"/>
          <w:szCs w:val="24"/>
          <w:lang w:val="en-US"/>
        </w:rPr>
      </w:pP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r w:rsidRPr="00E50732">
        <w:rPr>
          <w:rFonts w:ascii="Arial" w:hAnsi="Arial" w:cs="Arial"/>
          <w:color w:val="1A1A1A"/>
          <w:sz w:val="24"/>
          <w:szCs w:val="24"/>
          <w:lang w:val="en-US"/>
        </w:rPr>
        <w:t>In exceptional circumstances and with the agreement of SPHPM PhD program coordinator and a student's main supervisor, a student may undertake an elective unit in place of one of the required coursework units.</w:t>
      </w: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p>
    <w:p w:rsidR="00834D4F" w:rsidRPr="00C6161B" w:rsidRDefault="00834D4F" w:rsidP="00834D4F">
      <w:pPr>
        <w:spacing w:before="60" w:after="60"/>
        <w:rPr>
          <w:rFonts w:ascii="Arial" w:hAnsi="Arial" w:cs="Arial"/>
          <w:sz w:val="24"/>
          <w:szCs w:val="24"/>
        </w:rPr>
      </w:pPr>
      <w:r>
        <w:rPr>
          <w:rFonts w:ascii="Arial" w:hAnsi="Arial" w:cs="Arial"/>
          <w:color w:val="1A1A1A"/>
          <w:sz w:val="24"/>
          <w:szCs w:val="24"/>
          <w:lang w:val="en-US"/>
        </w:rPr>
        <w:t xml:space="preserve">Students are also required to undertake the Good Research Practice Short Course </w:t>
      </w:r>
      <w:r w:rsidRPr="00C6161B">
        <w:rPr>
          <w:rFonts w:ascii="Arial" w:hAnsi="Arial" w:cs="Arial"/>
          <w:sz w:val="24"/>
          <w:szCs w:val="24"/>
        </w:rPr>
        <w:t>delivered by the Department of Epidemiology and Preventive Medicine</w:t>
      </w:r>
      <w:r>
        <w:rPr>
          <w:rFonts w:ascii="Arial" w:hAnsi="Arial" w:cs="Arial"/>
          <w:sz w:val="24"/>
          <w:szCs w:val="24"/>
        </w:rPr>
        <w:t xml:space="preserve"> within their first year of candidature. </w:t>
      </w:r>
    </w:p>
    <w:p w:rsidR="00834D4F" w:rsidRDefault="00834D4F" w:rsidP="00834D4F">
      <w:pPr>
        <w:widowControl w:val="0"/>
        <w:autoSpaceDE w:val="0"/>
        <w:autoSpaceDN w:val="0"/>
        <w:adjustRightInd w:val="0"/>
        <w:spacing w:after="0" w:line="240" w:lineRule="auto"/>
        <w:rPr>
          <w:rFonts w:ascii="Arial" w:hAnsi="Arial" w:cs="Arial"/>
          <w:color w:val="1A1A1A"/>
          <w:sz w:val="24"/>
          <w:szCs w:val="24"/>
          <w:lang w:val="en-US"/>
        </w:rPr>
      </w:pPr>
    </w:p>
    <w:p w:rsidR="0062511B" w:rsidRDefault="0062511B" w:rsidP="00F97504">
      <w:pPr>
        <w:widowControl w:val="0"/>
        <w:spacing w:after="180" w:line="271" w:lineRule="auto"/>
        <w:ind w:left="360"/>
        <w:jc w:val="both"/>
        <w:rPr>
          <w:rFonts w:ascii="Arial" w:eastAsia="SimSun" w:hAnsi="Arial" w:cs="Arial"/>
          <w:color w:val="000000"/>
          <w:kern w:val="28"/>
          <w:lang w:val="en-US"/>
        </w:rPr>
        <w:sectPr w:rsidR="0062511B">
          <w:headerReference w:type="default" r:id="rId10"/>
          <w:footerReference w:type="default" r:id="rId11"/>
          <w:pgSz w:w="11900" w:h="16840"/>
          <w:pgMar w:top="1440" w:right="1440" w:bottom="1440" w:left="1440" w:header="709" w:footer="709" w:gutter="0"/>
          <w:cols w:space="708"/>
          <w:docGrid w:linePitch="360"/>
        </w:sectPr>
      </w:pPr>
    </w:p>
    <w:p w:rsidR="0062511B" w:rsidRPr="00C87ADB" w:rsidRDefault="0062511B" w:rsidP="0062511B">
      <w:pPr>
        <w:pStyle w:val="Heading1"/>
        <w:spacing w:after="0"/>
        <w:jc w:val="center"/>
        <w:rPr>
          <w:rFonts w:cs="Arial"/>
          <w:color w:val="17365D"/>
          <w:sz w:val="28"/>
          <w:szCs w:val="28"/>
        </w:rPr>
      </w:pPr>
      <w:r w:rsidRPr="00C87ADB">
        <w:rPr>
          <w:rFonts w:cs="Arial"/>
          <w:color w:val="17365D"/>
          <w:sz w:val="28"/>
          <w:szCs w:val="28"/>
        </w:rPr>
        <w:t xml:space="preserve">PhD PROGRAM </w:t>
      </w:r>
    </w:p>
    <w:p w:rsidR="0062511B" w:rsidRDefault="0062511B" w:rsidP="0062511B">
      <w:pPr>
        <w:spacing w:after="0"/>
        <w:rPr>
          <w:rFonts w:ascii="Arial" w:hAnsi="Arial" w:cs="Arial"/>
          <w:sz w:val="18"/>
          <w:szCs w:val="18"/>
        </w:rPr>
      </w:pPr>
    </w:p>
    <w:p w:rsidR="0062511B" w:rsidRDefault="0062511B" w:rsidP="0062511B">
      <w:pPr>
        <w:spacing w:after="0"/>
        <w:jc w:val="center"/>
        <w:rPr>
          <w:rFonts w:ascii="Arial" w:hAnsi="Arial" w:cs="Arial"/>
          <w:b/>
          <w:sz w:val="24"/>
          <w:szCs w:val="24"/>
        </w:rPr>
      </w:pPr>
      <w:r>
        <w:rPr>
          <w:rFonts w:ascii="Arial" w:hAnsi="Arial" w:cs="Arial"/>
          <w:b/>
          <w:sz w:val="24"/>
          <w:szCs w:val="24"/>
        </w:rPr>
        <w:t xml:space="preserve">Translational Research </w:t>
      </w:r>
    </w:p>
    <w:p w:rsidR="0062511B" w:rsidRPr="00B165D5" w:rsidRDefault="0062511B" w:rsidP="0062511B">
      <w:pPr>
        <w:jc w:val="center"/>
        <w:rPr>
          <w:b/>
        </w:rPr>
      </w:pPr>
      <w:r w:rsidRPr="00AA6B97">
        <w:rPr>
          <w:rFonts w:ascii="Arial" w:hAnsi="Arial" w:cs="Arial"/>
          <w:b/>
          <w:sz w:val="24"/>
          <w:szCs w:val="24"/>
        </w:rPr>
        <w:t>Program Director:</w:t>
      </w:r>
      <w:r>
        <w:rPr>
          <w:rFonts w:ascii="Arial" w:hAnsi="Arial" w:cs="Arial"/>
          <w:b/>
          <w:sz w:val="24"/>
          <w:szCs w:val="24"/>
        </w:rPr>
        <w:t xml:space="preserve"> Prof. Stephen Jane</w:t>
      </w:r>
    </w:p>
    <w:p w:rsidR="0062511B" w:rsidRPr="00C01BD8" w:rsidRDefault="0062511B" w:rsidP="0062511B">
      <w:pPr>
        <w:spacing w:after="0"/>
        <w:rPr>
          <w:rFonts w:ascii="Arial" w:hAnsi="Arial" w:cs="Arial"/>
          <w:b/>
          <w:sz w:val="24"/>
          <w:szCs w:val="24"/>
        </w:rPr>
      </w:pPr>
    </w:p>
    <w:p w:rsidR="0062511B" w:rsidRDefault="0062511B" w:rsidP="0062511B">
      <w:pPr>
        <w:widowControl w:val="0"/>
        <w:autoSpaceDE w:val="0"/>
        <w:autoSpaceDN w:val="0"/>
        <w:adjustRightInd w:val="0"/>
        <w:spacing w:after="0" w:line="240" w:lineRule="auto"/>
        <w:rPr>
          <w:rFonts w:ascii="Arial" w:hAnsi="Arial" w:cs="Arial"/>
          <w:color w:val="1A1A1A"/>
          <w:sz w:val="24"/>
          <w:szCs w:val="24"/>
          <w:lang w:val="en-US"/>
        </w:rPr>
      </w:pPr>
      <w:r>
        <w:rPr>
          <w:rFonts w:ascii="Arial" w:hAnsi="Arial" w:cs="Arial"/>
          <w:color w:val="1A1A1A"/>
          <w:sz w:val="24"/>
          <w:szCs w:val="24"/>
          <w:lang w:val="en-US"/>
        </w:rPr>
        <w:t>The Translational Research PhD P</w:t>
      </w:r>
      <w:r w:rsidRPr="00E50732">
        <w:rPr>
          <w:rFonts w:ascii="Arial" w:hAnsi="Arial" w:cs="Arial"/>
          <w:color w:val="1A1A1A"/>
          <w:sz w:val="24"/>
          <w:szCs w:val="24"/>
          <w:lang w:val="en-US"/>
        </w:rPr>
        <w:t xml:space="preserve">rogram </w:t>
      </w:r>
      <w:r>
        <w:rPr>
          <w:rFonts w:ascii="Arial" w:hAnsi="Arial" w:cs="Arial"/>
          <w:color w:val="1A1A1A"/>
          <w:sz w:val="24"/>
          <w:szCs w:val="24"/>
          <w:lang w:val="en-US"/>
        </w:rPr>
        <w:t>will be a coursework program</w:t>
      </w:r>
      <w:r w:rsidRPr="00E50732">
        <w:rPr>
          <w:rFonts w:ascii="Arial" w:hAnsi="Arial" w:cs="Arial"/>
          <w:color w:val="1A1A1A"/>
          <w:sz w:val="24"/>
          <w:szCs w:val="24"/>
          <w:lang w:val="en-US"/>
        </w:rPr>
        <w:t xml:space="preserve">. </w:t>
      </w:r>
    </w:p>
    <w:p w:rsidR="0062511B" w:rsidRDefault="0062511B" w:rsidP="0062511B">
      <w:pPr>
        <w:widowControl w:val="0"/>
        <w:autoSpaceDE w:val="0"/>
        <w:autoSpaceDN w:val="0"/>
        <w:adjustRightInd w:val="0"/>
        <w:spacing w:after="0" w:line="240" w:lineRule="auto"/>
        <w:rPr>
          <w:rFonts w:ascii="Arial" w:hAnsi="Arial" w:cs="Arial"/>
          <w:color w:val="1A1A1A"/>
          <w:sz w:val="24"/>
          <w:szCs w:val="24"/>
          <w:lang w:val="en-US"/>
        </w:rPr>
      </w:pPr>
    </w:p>
    <w:p w:rsidR="0062511B" w:rsidRDefault="0062511B" w:rsidP="0062511B">
      <w:pPr>
        <w:widowControl w:val="0"/>
        <w:autoSpaceDE w:val="0"/>
        <w:autoSpaceDN w:val="0"/>
        <w:adjustRightInd w:val="0"/>
        <w:spacing w:after="0" w:line="240" w:lineRule="auto"/>
        <w:rPr>
          <w:rFonts w:ascii="Arial" w:hAnsi="Arial" w:cs="Arial"/>
          <w:color w:val="1A1A1A"/>
          <w:sz w:val="24"/>
          <w:szCs w:val="24"/>
          <w:lang w:val="en-US"/>
        </w:rPr>
      </w:pPr>
      <w:r>
        <w:rPr>
          <w:rFonts w:ascii="Arial" w:hAnsi="Arial" w:cs="Arial"/>
          <w:color w:val="1A1A1A"/>
          <w:sz w:val="24"/>
          <w:szCs w:val="24"/>
          <w:lang w:val="en-US"/>
        </w:rPr>
        <w:t>Students who undertake this program will be required to take one c</w:t>
      </w:r>
      <w:r w:rsidRPr="00E50732">
        <w:rPr>
          <w:rFonts w:ascii="Arial" w:hAnsi="Arial" w:cs="Arial"/>
          <w:color w:val="1A1A1A"/>
          <w:sz w:val="24"/>
          <w:szCs w:val="24"/>
          <w:lang w:val="en-US"/>
        </w:rPr>
        <w:t xml:space="preserve">ore </w:t>
      </w:r>
      <w:r>
        <w:rPr>
          <w:rFonts w:ascii="Arial" w:hAnsi="Arial" w:cs="Arial"/>
          <w:color w:val="1A1A1A"/>
          <w:sz w:val="24"/>
          <w:szCs w:val="24"/>
          <w:lang w:val="en-US"/>
        </w:rPr>
        <w:t xml:space="preserve">course work unit: </w:t>
      </w:r>
    </w:p>
    <w:p w:rsidR="0062511B" w:rsidRDefault="0062511B" w:rsidP="0062511B">
      <w:pPr>
        <w:widowControl w:val="0"/>
        <w:autoSpaceDE w:val="0"/>
        <w:autoSpaceDN w:val="0"/>
        <w:adjustRightInd w:val="0"/>
        <w:spacing w:after="0" w:line="240" w:lineRule="auto"/>
        <w:rPr>
          <w:rFonts w:ascii="Arial" w:hAnsi="Arial" w:cs="Arial"/>
          <w:color w:val="1A1A1A"/>
          <w:sz w:val="24"/>
          <w:szCs w:val="24"/>
          <w:lang w:val="en-US"/>
        </w:rPr>
      </w:pPr>
    </w:p>
    <w:p w:rsidR="0062511B" w:rsidRPr="007340A9" w:rsidRDefault="004F2E1D" w:rsidP="0062511B">
      <w:pPr>
        <w:pStyle w:val="ListParagraph"/>
        <w:numPr>
          <w:ilvl w:val="0"/>
          <w:numId w:val="46"/>
        </w:numPr>
        <w:jc w:val="both"/>
        <w:rPr>
          <w:rFonts w:ascii="Arial" w:hAnsi="Arial"/>
          <w:sz w:val="24"/>
          <w:szCs w:val="24"/>
        </w:rPr>
      </w:pPr>
      <w:r>
        <w:rPr>
          <w:rFonts w:ascii="Arial" w:hAnsi="Arial"/>
          <w:sz w:val="24"/>
          <w:szCs w:val="24"/>
        </w:rPr>
        <w:t>TRM4002</w:t>
      </w:r>
      <w:r w:rsidR="0062511B" w:rsidRPr="007340A9">
        <w:rPr>
          <w:rFonts w:ascii="Arial" w:hAnsi="Arial"/>
          <w:sz w:val="24"/>
          <w:szCs w:val="24"/>
        </w:rPr>
        <w:t xml:space="preserve">: </w:t>
      </w:r>
      <w:r w:rsidR="0062511B">
        <w:rPr>
          <w:rFonts w:ascii="Arial" w:hAnsi="Arial"/>
          <w:sz w:val="24"/>
          <w:szCs w:val="24"/>
        </w:rPr>
        <w:t>Translational Research – 6 credit points (new unit)</w:t>
      </w:r>
    </w:p>
    <w:p w:rsidR="0062511B" w:rsidRDefault="0062511B" w:rsidP="0062511B">
      <w:pPr>
        <w:widowControl w:val="0"/>
        <w:autoSpaceDE w:val="0"/>
        <w:autoSpaceDN w:val="0"/>
        <w:adjustRightInd w:val="0"/>
        <w:spacing w:after="0" w:line="240" w:lineRule="auto"/>
        <w:rPr>
          <w:rFonts w:ascii="Arial" w:hAnsi="Arial" w:cs="Arial"/>
          <w:color w:val="1A1A1A"/>
          <w:sz w:val="24"/>
          <w:szCs w:val="24"/>
          <w:lang w:val="en-US"/>
        </w:rPr>
      </w:pPr>
    </w:p>
    <w:p w:rsidR="0062511B" w:rsidRDefault="0062511B" w:rsidP="0062511B">
      <w:pPr>
        <w:widowControl w:val="0"/>
        <w:autoSpaceDE w:val="0"/>
        <w:autoSpaceDN w:val="0"/>
        <w:adjustRightInd w:val="0"/>
        <w:spacing w:after="0" w:line="240" w:lineRule="auto"/>
        <w:rPr>
          <w:rFonts w:ascii="Arial" w:hAnsi="Arial" w:cs="Arial"/>
          <w:color w:val="1A1A1A"/>
          <w:sz w:val="24"/>
          <w:szCs w:val="24"/>
          <w:lang w:val="en-US"/>
        </w:rPr>
      </w:pPr>
      <w:proofErr w:type="gramStart"/>
      <w:r>
        <w:rPr>
          <w:rFonts w:ascii="Arial" w:hAnsi="Arial" w:cs="Arial"/>
          <w:color w:val="1A1A1A"/>
          <w:sz w:val="24"/>
          <w:szCs w:val="24"/>
          <w:lang w:val="en-US"/>
        </w:rPr>
        <w:t>and</w:t>
      </w:r>
      <w:proofErr w:type="gramEnd"/>
      <w:r>
        <w:rPr>
          <w:rFonts w:ascii="Arial" w:hAnsi="Arial" w:cs="Arial"/>
          <w:color w:val="1A1A1A"/>
          <w:sz w:val="24"/>
          <w:szCs w:val="24"/>
          <w:lang w:val="en-US"/>
        </w:rPr>
        <w:t xml:space="preserve"> </w:t>
      </w:r>
    </w:p>
    <w:p w:rsidR="0062511B" w:rsidRDefault="0062511B" w:rsidP="0062511B">
      <w:pPr>
        <w:widowControl w:val="0"/>
        <w:autoSpaceDE w:val="0"/>
        <w:autoSpaceDN w:val="0"/>
        <w:adjustRightInd w:val="0"/>
        <w:spacing w:after="0" w:line="240" w:lineRule="auto"/>
        <w:rPr>
          <w:rFonts w:ascii="Arial" w:hAnsi="Arial" w:cs="Arial"/>
          <w:color w:val="1A1A1A"/>
          <w:sz w:val="24"/>
          <w:szCs w:val="24"/>
          <w:lang w:val="en-US"/>
        </w:rPr>
      </w:pPr>
    </w:p>
    <w:p w:rsidR="0062511B" w:rsidRDefault="0062511B" w:rsidP="0062511B">
      <w:pPr>
        <w:widowControl w:val="0"/>
        <w:autoSpaceDE w:val="0"/>
        <w:autoSpaceDN w:val="0"/>
        <w:adjustRightInd w:val="0"/>
        <w:spacing w:after="0" w:line="240" w:lineRule="auto"/>
        <w:rPr>
          <w:rFonts w:ascii="Arial" w:hAnsi="Arial" w:cs="Arial"/>
          <w:color w:val="1A1A1A"/>
          <w:sz w:val="24"/>
          <w:szCs w:val="24"/>
          <w:lang w:val="en-US"/>
        </w:rPr>
      </w:pPr>
      <w:proofErr w:type="gramStart"/>
      <w:r>
        <w:rPr>
          <w:rFonts w:ascii="Arial" w:hAnsi="Arial" w:cs="Arial"/>
          <w:color w:val="1A1A1A"/>
          <w:sz w:val="24"/>
          <w:szCs w:val="24"/>
          <w:lang w:val="en-US"/>
        </w:rPr>
        <w:t>one</w:t>
      </w:r>
      <w:proofErr w:type="gramEnd"/>
      <w:r>
        <w:rPr>
          <w:rFonts w:ascii="Arial" w:hAnsi="Arial" w:cs="Arial"/>
          <w:color w:val="1A1A1A"/>
          <w:sz w:val="24"/>
          <w:szCs w:val="24"/>
          <w:lang w:val="en-US"/>
        </w:rPr>
        <w:t xml:space="preserve"> elective coursework unit: </w:t>
      </w:r>
    </w:p>
    <w:p w:rsidR="0062511B" w:rsidRPr="00A12398" w:rsidRDefault="0062511B" w:rsidP="0062511B">
      <w:pPr>
        <w:widowControl w:val="0"/>
        <w:autoSpaceDE w:val="0"/>
        <w:autoSpaceDN w:val="0"/>
        <w:adjustRightInd w:val="0"/>
        <w:spacing w:after="0" w:line="240" w:lineRule="auto"/>
        <w:rPr>
          <w:rFonts w:ascii="Arial" w:hAnsi="Arial" w:cs="Arial"/>
          <w:sz w:val="24"/>
          <w:szCs w:val="24"/>
        </w:rPr>
      </w:pPr>
    </w:p>
    <w:p w:rsidR="0062511B" w:rsidRPr="00C01BD8" w:rsidRDefault="0062511B" w:rsidP="0062511B">
      <w:pPr>
        <w:pStyle w:val="ListParagraph"/>
        <w:widowControl w:val="0"/>
        <w:numPr>
          <w:ilvl w:val="0"/>
          <w:numId w:val="48"/>
        </w:numPr>
        <w:autoSpaceDE w:val="0"/>
        <w:autoSpaceDN w:val="0"/>
        <w:adjustRightInd w:val="0"/>
        <w:spacing w:line="240" w:lineRule="auto"/>
        <w:rPr>
          <w:rFonts w:ascii="Arial" w:hAnsi="Arial" w:cs="Arial"/>
          <w:color w:val="1A1A1A"/>
          <w:sz w:val="24"/>
          <w:szCs w:val="24"/>
          <w:lang w:val="en-US"/>
        </w:rPr>
      </w:pPr>
      <w:r>
        <w:rPr>
          <w:rFonts w:ascii="Arial" w:hAnsi="Arial"/>
          <w:sz w:val="24"/>
          <w:szCs w:val="24"/>
        </w:rPr>
        <w:t>MPH5041</w:t>
      </w:r>
      <w:r w:rsidRPr="007340A9">
        <w:rPr>
          <w:rFonts w:ascii="Arial" w:hAnsi="Arial"/>
          <w:sz w:val="24"/>
          <w:szCs w:val="24"/>
        </w:rPr>
        <w:t xml:space="preserve">: </w:t>
      </w:r>
      <w:r>
        <w:rPr>
          <w:rFonts w:ascii="Arial" w:hAnsi="Arial" w:cs="Arial"/>
          <w:color w:val="1A1A1A"/>
          <w:sz w:val="24"/>
          <w:szCs w:val="24"/>
          <w:lang w:val="en-US"/>
        </w:rPr>
        <w:t xml:space="preserve">Introductory Biostatistics </w:t>
      </w:r>
      <w:r>
        <w:rPr>
          <w:rFonts w:ascii="Arial" w:hAnsi="Arial"/>
          <w:sz w:val="24"/>
          <w:szCs w:val="24"/>
        </w:rPr>
        <w:t>– 6 credit points</w:t>
      </w:r>
    </w:p>
    <w:p w:rsidR="0062511B" w:rsidRPr="00C01BD8" w:rsidRDefault="0062511B" w:rsidP="0062511B">
      <w:pPr>
        <w:pStyle w:val="ListParagraph"/>
        <w:widowControl w:val="0"/>
        <w:numPr>
          <w:ilvl w:val="0"/>
          <w:numId w:val="48"/>
        </w:numPr>
        <w:autoSpaceDE w:val="0"/>
        <w:autoSpaceDN w:val="0"/>
        <w:adjustRightInd w:val="0"/>
        <w:spacing w:line="240" w:lineRule="auto"/>
        <w:rPr>
          <w:rFonts w:ascii="Arial" w:hAnsi="Arial" w:cs="Arial"/>
          <w:color w:val="1A1A1A"/>
          <w:sz w:val="24"/>
          <w:szCs w:val="24"/>
          <w:lang w:val="en-US"/>
        </w:rPr>
      </w:pPr>
      <w:r>
        <w:rPr>
          <w:rFonts w:ascii="Arial" w:hAnsi="Arial"/>
          <w:sz w:val="24"/>
          <w:szCs w:val="24"/>
        </w:rPr>
        <w:t>APG5210: Bioethics Theory and Practice – 6 credit points</w:t>
      </w:r>
    </w:p>
    <w:p w:rsidR="0062511B" w:rsidRPr="00C01BD8" w:rsidRDefault="004F2E1D" w:rsidP="0062511B">
      <w:pPr>
        <w:pStyle w:val="ListParagraph"/>
        <w:widowControl w:val="0"/>
        <w:numPr>
          <w:ilvl w:val="0"/>
          <w:numId w:val="48"/>
        </w:numPr>
        <w:autoSpaceDE w:val="0"/>
        <w:autoSpaceDN w:val="0"/>
        <w:adjustRightInd w:val="0"/>
        <w:spacing w:line="240" w:lineRule="auto"/>
        <w:rPr>
          <w:rFonts w:ascii="Arial" w:hAnsi="Arial" w:cs="Arial"/>
          <w:color w:val="1A1A1A"/>
          <w:sz w:val="24"/>
          <w:szCs w:val="24"/>
          <w:lang w:val="en-US"/>
        </w:rPr>
      </w:pPr>
      <w:r>
        <w:rPr>
          <w:rFonts w:ascii="Arial" w:hAnsi="Arial"/>
          <w:sz w:val="24"/>
          <w:szCs w:val="24"/>
        </w:rPr>
        <w:t>TRM4001</w:t>
      </w:r>
      <w:r w:rsidR="0062511B" w:rsidRPr="007340A9">
        <w:rPr>
          <w:rFonts w:ascii="Arial" w:hAnsi="Arial"/>
          <w:sz w:val="24"/>
          <w:szCs w:val="24"/>
        </w:rPr>
        <w:t>:</w:t>
      </w:r>
      <w:r w:rsidR="0062511B">
        <w:rPr>
          <w:rFonts w:ascii="Arial" w:hAnsi="Arial"/>
          <w:sz w:val="24"/>
          <w:szCs w:val="24"/>
        </w:rPr>
        <w:t xml:space="preserve"> Introduction to Clinical Trials – 6 credit points</w:t>
      </w:r>
    </w:p>
    <w:p w:rsidR="00F97504" w:rsidRPr="00CE03E3" w:rsidRDefault="00F97504" w:rsidP="00F97504">
      <w:pPr>
        <w:widowControl w:val="0"/>
        <w:spacing w:after="180" w:line="271" w:lineRule="auto"/>
        <w:ind w:left="360"/>
        <w:jc w:val="both"/>
        <w:rPr>
          <w:rFonts w:ascii="Arial" w:eastAsia="SimSun" w:hAnsi="Arial" w:cs="Arial"/>
          <w:color w:val="000000"/>
          <w:kern w:val="28"/>
          <w:lang w:val="en-US"/>
        </w:rPr>
      </w:pPr>
    </w:p>
    <w:p w:rsidR="00F97504" w:rsidRDefault="00F97504" w:rsidP="00F97504">
      <w:pPr>
        <w:pStyle w:val="BodyText0"/>
        <w:tabs>
          <w:tab w:val="left" w:pos="3316"/>
        </w:tabs>
        <w:spacing w:before="240" w:line="240" w:lineRule="auto"/>
        <w:rPr>
          <w:rFonts w:ascii="Arial" w:hAnsi="Arial" w:cs="Arial"/>
          <w:b/>
          <w:color w:val="17365D"/>
        </w:rPr>
      </w:pPr>
    </w:p>
    <w:p w:rsidR="00F97504" w:rsidRPr="00C87ADB" w:rsidRDefault="00F97504" w:rsidP="00F97504">
      <w:pPr>
        <w:pStyle w:val="BodyText0"/>
        <w:tabs>
          <w:tab w:val="left" w:pos="3316"/>
        </w:tabs>
        <w:spacing w:before="240" w:line="240" w:lineRule="auto"/>
        <w:rPr>
          <w:rFonts w:ascii="Arial" w:hAnsi="Arial" w:cs="Arial"/>
          <w:b/>
          <w:color w:val="17365D"/>
        </w:rPr>
      </w:pPr>
    </w:p>
    <w:p w:rsidR="00794F65" w:rsidRPr="00C87ADB" w:rsidRDefault="00794F65" w:rsidP="00E9250B">
      <w:pPr>
        <w:pStyle w:val="BodyText0"/>
        <w:tabs>
          <w:tab w:val="left" w:pos="3316"/>
        </w:tabs>
        <w:spacing w:before="240" w:line="240" w:lineRule="auto"/>
        <w:rPr>
          <w:rFonts w:ascii="Arial" w:hAnsi="Arial" w:cs="Arial"/>
          <w:b/>
          <w:color w:val="17365D"/>
        </w:rPr>
      </w:pPr>
    </w:p>
    <w:sectPr w:rsidR="00794F65" w:rsidRPr="00C87ADB" w:rsidSect="008F2A64">
      <w:pgSz w:w="11900" w:h="16840"/>
      <w:pgMar w:top="1440" w:right="1440" w:bottom="1440" w:left="1440"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C70" w:rsidRDefault="00DE4C70" w:rsidP="00B71B9C">
      <w:pPr>
        <w:spacing w:after="0" w:line="240" w:lineRule="auto"/>
      </w:pPr>
      <w:r>
        <w:separator/>
      </w:r>
    </w:p>
  </w:endnote>
  <w:endnote w:type="continuationSeparator" w:id="0">
    <w:p w:rsidR="00DE4C70" w:rsidRDefault="00DE4C70" w:rsidP="00B71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00000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altName w:val="Courier New"/>
    <w:panose1 w:val="020703090202050204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Wingdings">
    <w:altName w:val="Wingdings"/>
    <w:panose1 w:val="05000000000000000000"/>
    <w:charset w:val="02"/>
    <w:family w:val="auto"/>
    <w:pitch w:val="variable"/>
    <w:sig w:usb0="00000000" w:usb1="00000000" w:usb2="00010000" w:usb3="00000000" w:csb0="80000000" w:csb1="00000000"/>
  </w:font>
  <w:font w:name="Calibri">
    <w:altName w:val="Planet Benson 2"/>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656922"/>
      <w:docPartObj>
        <w:docPartGallery w:val="Page Numbers (Bottom of Page)"/>
        <w:docPartUnique/>
      </w:docPartObj>
    </w:sdtPr>
    <w:sdtEndPr>
      <w:rPr>
        <w:noProof/>
      </w:rPr>
    </w:sdtEndPr>
    <w:sdtContent>
      <w:p w:rsidR="00DE4C70" w:rsidRDefault="00DE4C70" w:rsidP="00A5413A">
        <w:pPr>
          <w:pStyle w:val="Footer"/>
          <w:tabs>
            <w:tab w:val="left" w:pos="4889"/>
            <w:tab w:val="center" w:pos="6979"/>
          </w:tabs>
        </w:pPr>
        <w:r>
          <w:tab/>
        </w:r>
        <w:r>
          <w:tab/>
        </w:r>
        <w:r>
          <w:tab/>
        </w:r>
        <w:fldSimple w:instr=" PAGE   \* MERGEFORMAT ">
          <w:r w:rsidR="002A2AF2">
            <w:rPr>
              <w:noProof/>
            </w:rPr>
            <w:t>4</w:t>
          </w:r>
        </w:fldSimple>
      </w:p>
    </w:sdtContent>
  </w:sdt>
  <w:p w:rsidR="00DE4C70" w:rsidRDefault="00DE4C7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103808"/>
      <w:docPartObj>
        <w:docPartGallery w:val="Page Numbers (Bottom of Page)"/>
        <w:docPartUnique/>
      </w:docPartObj>
    </w:sdtPr>
    <w:sdtEndPr>
      <w:rPr>
        <w:noProof/>
      </w:rPr>
    </w:sdtEndPr>
    <w:sdtContent>
      <w:p w:rsidR="00DE4C70" w:rsidRDefault="00DE4C70" w:rsidP="00A5413A">
        <w:pPr>
          <w:pStyle w:val="Footer"/>
          <w:tabs>
            <w:tab w:val="left" w:pos="4889"/>
            <w:tab w:val="center" w:pos="6979"/>
          </w:tabs>
        </w:pPr>
        <w:r>
          <w:tab/>
        </w:r>
        <w:r>
          <w:tab/>
        </w:r>
        <w:r>
          <w:tab/>
        </w:r>
        <w:fldSimple w:instr=" PAGE   \* MERGEFORMAT ">
          <w:r w:rsidR="002A2AF2">
            <w:rPr>
              <w:noProof/>
            </w:rPr>
            <w:t>10</w:t>
          </w:r>
        </w:fldSimple>
      </w:p>
    </w:sdtContent>
  </w:sdt>
  <w:p w:rsidR="00DE4C70" w:rsidRDefault="00DE4C7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C70" w:rsidRDefault="00DE4C70" w:rsidP="00B71B9C">
      <w:pPr>
        <w:spacing w:after="0" w:line="240" w:lineRule="auto"/>
      </w:pPr>
      <w:r>
        <w:separator/>
      </w:r>
    </w:p>
  </w:footnote>
  <w:footnote w:type="continuationSeparator" w:id="0">
    <w:p w:rsidR="00DE4C70" w:rsidRDefault="00DE4C70" w:rsidP="00B71B9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70" w:rsidRPr="00541098" w:rsidRDefault="00DE4C70" w:rsidP="00541098">
    <w:pPr>
      <w:pStyle w:val="Header"/>
    </w:pPr>
    <w:r w:rsidRPr="00E27BC1">
      <w:rPr>
        <w:noProof/>
        <w:lang w:val="en-US" w:eastAsia="en-US"/>
      </w:rPr>
      <w:drawing>
        <wp:inline distT="0" distB="0" distL="0" distR="0">
          <wp:extent cx="2697480" cy="668917"/>
          <wp:effectExtent l="0" t="0" r="7620" b="0"/>
          <wp:docPr id="16" name="Picture 1" descr="Institute for Graduate Researc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for Graduate Research_CMYK"/>
                  <pic:cNvPicPr>
                    <a:picLocks noChangeAspect="1" noChangeArrowheads="1"/>
                  </pic:cNvPicPr>
                </pic:nvPicPr>
                <pic:blipFill>
                  <a:blip r:embed="rId1"/>
                  <a:srcRect l="1576" t="6052"/>
                  <a:stretch>
                    <a:fillRect/>
                  </a:stretch>
                </pic:blipFill>
                <pic:spPr bwMode="auto">
                  <a:xfrm>
                    <a:off x="0" y="0"/>
                    <a:ext cx="2697480" cy="668917"/>
                  </a:xfrm>
                  <a:prstGeom prst="rect">
                    <a:avLst/>
                  </a:prstGeom>
                  <a:noFill/>
                  <a:ln w="9525">
                    <a:noFill/>
                    <a:miter lim="800000"/>
                    <a:headEnd/>
                    <a:tailEnd/>
                  </a:ln>
                </pic:spPr>
              </pic:pic>
            </a:graphicData>
          </a:graphic>
        </wp:inline>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70" w:rsidRPr="00541098" w:rsidRDefault="00DE4C70" w:rsidP="00541098">
    <w:pPr>
      <w:pStyle w:val="Header"/>
    </w:pPr>
    <w:r w:rsidRPr="00E27BC1">
      <w:rPr>
        <w:noProof/>
        <w:lang w:val="en-US" w:eastAsia="en-US"/>
      </w:rPr>
      <w:drawing>
        <wp:inline distT="0" distB="0" distL="0" distR="0">
          <wp:extent cx="2697480" cy="668917"/>
          <wp:effectExtent l="0" t="0" r="7620" b="0"/>
          <wp:docPr id="2" name="Picture 1" descr="Institute for Graduate Researc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for Graduate Research_CMYK"/>
                  <pic:cNvPicPr>
                    <a:picLocks noChangeAspect="1" noChangeArrowheads="1"/>
                  </pic:cNvPicPr>
                </pic:nvPicPr>
                <pic:blipFill>
                  <a:blip r:embed="rId1"/>
                  <a:srcRect l="1576" t="6052"/>
                  <a:stretch>
                    <a:fillRect/>
                  </a:stretch>
                </pic:blipFill>
                <pic:spPr bwMode="auto">
                  <a:xfrm>
                    <a:off x="0" y="0"/>
                    <a:ext cx="2697480" cy="668917"/>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E19"/>
    <w:multiLevelType w:val="hybridMultilevel"/>
    <w:tmpl w:val="950C7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577DD4"/>
    <w:multiLevelType w:val="hybridMultilevel"/>
    <w:tmpl w:val="C9F0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D77581"/>
    <w:multiLevelType w:val="multilevel"/>
    <w:tmpl w:val="43C44302"/>
    <w:lvl w:ilvl="0">
      <w:numFmt w:val="bullet"/>
      <w:lvlText w:val="–"/>
      <w:lvlJc w:val="left"/>
      <w:pPr>
        <w:ind w:left="420" w:hanging="360"/>
      </w:pPr>
      <w:rPr>
        <w:rFonts w:ascii="Arial" w:eastAsiaTheme="minorHAnsi" w:hAnsi="Aria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2A76FE"/>
    <w:multiLevelType w:val="hybridMultilevel"/>
    <w:tmpl w:val="EB50E9D8"/>
    <w:lvl w:ilvl="0" w:tplc="55285242">
      <w:start w:val="3"/>
      <w:numFmt w:val="decimal"/>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4">
    <w:nsid w:val="09FA7BC3"/>
    <w:multiLevelType w:val="hybridMultilevel"/>
    <w:tmpl w:val="1AE2A9B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Arial"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Arial"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Arial" w:hint="default"/>
      </w:rPr>
    </w:lvl>
    <w:lvl w:ilvl="8" w:tplc="0C090005" w:tentative="1">
      <w:start w:val="1"/>
      <w:numFmt w:val="bullet"/>
      <w:lvlText w:val=""/>
      <w:lvlJc w:val="left"/>
      <w:pPr>
        <w:ind w:left="7756" w:hanging="360"/>
      </w:pPr>
      <w:rPr>
        <w:rFonts w:ascii="Wingdings" w:hAnsi="Wingdings" w:hint="default"/>
      </w:rPr>
    </w:lvl>
  </w:abstractNum>
  <w:abstractNum w:abstractNumId="5">
    <w:nsid w:val="138E6B68"/>
    <w:multiLevelType w:val="hybridMultilevel"/>
    <w:tmpl w:val="99862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59393F"/>
    <w:multiLevelType w:val="hybridMultilevel"/>
    <w:tmpl w:val="CC544952"/>
    <w:lvl w:ilvl="0" w:tplc="312A614C">
      <w:start w:val="1"/>
      <w:numFmt w:val="bullet"/>
      <w:lvlText w:val=""/>
      <w:lvlJc w:val="left"/>
      <w:pPr>
        <w:tabs>
          <w:tab w:val="num" w:pos="720"/>
        </w:tabs>
        <w:ind w:left="720" w:hanging="360"/>
      </w:pPr>
      <w:rPr>
        <w:rFonts w:ascii="Symbol" w:hAnsi="Symbol" w:hint="default"/>
      </w:rPr>
    </w:lvl>
    <w:lvl w:ilvl="1" w:tplc="047680F0" w:tentative="1">
      <w:start w:val="1"/>
      <w:numFmt w:val="bullet"/>
      <w:lvlText w:val=""/>
      <w:lvlJc w:val="left"/>
      <w:pPr>
        <w:tabs>
          <w:tab w:val="num" w:pos="1440"/>
        </w:tabs>
        <w:ind w:left="1440" w:hanging="360"/>
      </w:pPr>
      <w:rPr>
        <w:rFonts w:ascii="Symbol" w:hAnsi="Symbol" w:hint="default"/>
      </w:rPr>
    </w:lvl>
    <w:lvl w:ilvl="2" w:tplc="DFEC1F86" w:tentative="1">
      <w:start w:val="1"/>
      <w:numFmt w:val="bullet"/>
      <w:lvlText w:val=""/>
      <w:lvlJc w:val="left"/>
      <w:pPr>
        <w:tabs>
          <w:tab w:val="num" w:pos="2160"/>
        </w:tabs>
        <w:ind w:left="2160" w:hanging="360"/>
      </w:pPr>
      <w:rPr>
        <w:rFonts w:ascii="Symbol" w:hAnsi="Symbol" w:hint="default"/>
      </w:rPr>
    </w:lvl>
    <w:lvl w:ilvl="3" w:tplc="BA0E528E" w:tentative="1">
      <w:start w:val="1"/>
      <w:numFmt w:val="bullet"/>
      <w:lvlText w:val=""/>
      <w:lvlJc w:val="left"/>
      <w:pPr>
        <w:tabs>
          <w:tab w:val="num" w:pos="2880"/>
        </w:tabs>
        <w:ind w:left="2880" w:hanging="360"/>
      </w:pPr>
      <w:rPr>
        <w:rFonts w:ascii="Symbol" w:hAnsi="Symbol" w:hint="default"/>
      </w:rPr>
    </w:lvl>
    <w:lvl w:ilvl="4" w:tplc="88ACA666" w:tentative="1">
      <w:start w:val="1"/>
      <w:numFmt w:val="bullet"/>
      <w:lvlText w:val=""/>
      <w:lvlJc w:val="left"/>
      <w:pPr>
        <w:tabs>
          <w:tab w:val="num" w:pos="3600"/>
        </w:tabs>
        <w:ind w:left="3600" w:hanging="360"/>
      </w:pPr>
      <w:rPr>
        <w:rFonts w:ascii="Symbol" w:hAnsi="Symbol" w:hint="default"/>
      </w:rPr>
    </w:lvl>
    <w:lvl w:ilvl="5" w:tplc="1DF6BA0A" w:tentative="1">
      <w:start w:val="1"/>
      <w:numFmt w:val="bullet"/>
      <w:lvlText w:val=""/>
      <w:lvlJc w:val="left"/>
      <w:pPr>
        <w:tabs>
          <w:tab w:val="num" w:pos="4320"/>
        </w:tabs>
        <w:ind w:left="4320" w:hanging="360"/>
      </w:pPr>
      <w:rPr>
        <w:rFonts w:ascii="Symbol" w:hAnsi="Symbol" w:hint="default"/>
      </w:rPr>
    </w:lvl>
    <w:lvl w:ilvl="6" w:tplc="B91E4D56" w:tentative="1">
      <w:start w:val="1"/>
      <w:numFmt w:val="bullet"/>
      <w:lvlText w:val=""/>
      <w:lvlJc w:val="left"/>
      <w:pPr>
        <w:tabs>
          <w:tab w:val="num" w:pos="5040"/>
        </w:tabs>
        <w:ind w:left="5040" w:hanging="360"/>
      </w:pPr>
      <w:rPr>
        <w:rFonts w:ascii="Symbol" w:hAnsi="Symbol" w:hint="default"/>
      </w:rPr>
    </w:lvl>
    <w:lvl w:ilvl="7" w:tplc="72DCFAB0" w:tentative="1">
      <w:start w:val="1"/>
      <w:numFmt w:val="bullet"/>
      <w:lvlText w:val=""/>
      <w:lvlJc w:val="left"/>
      <w:pPr>
        <w:tabs>
          <w:tab w:val="num" w:pos="5760"/>
        </w:tabs>
        <w:ind w:left="5760" w:hanging="360"/>
      </w:pPr>
      <w:rPr>
        <w:rFonts w:ascii="Symbol" w:hAnsi="Symbol" w:hint="default"/>
      </w:rPr>
    </w:lvl>
    <w:lvl w:ilvl="8" w:tplc="D70EC212" w:tentative="1">
      <w:start w:val="1"/>
      <w:numFmt w:val="bullet"/>
      <w:lvlText w:val=""/>
      <w:lvlJc w:val="left"/>
      <w:pPr>
        <w:tabs>
          <w:tab w:val="num" w:pos="6480"/>
        </w:tabs>
        <w:ind w:left="6480" w:hanging="360"/>
      </w:pPr>
      <w:rPr>
        <w:rFonts w:ascii="Symbol" w:hAnsi="Symbol" w:hint="default"/>
      </w:rPr>
    </w:lvl>
  </w:abstractNum>
  <w:abstractNum w:abstractNumId="7">
    <w:nsid w:val="1B640CFC"/>
    <w:multiLevelType w:val="multilevel"/>
    <w:tmpl w:val="968CF03A"/>
    <w:lvl w:ilvl="0">
      <w:start w:val="3"/>
      <w:numFmt w:val="decimal"/>
      <w:lvlText w:val="%1"/>
      <w:lvlJc w:val="left"/>
      <w:pPr>
        <w:ind w:left="615" w:hanging="615"/>
      </w:pPr>
      <w:rPr>
        <w:rFonts w:hint="default"/>
      </w:rPr>
    </w:lvl>
    <w:lvl w:ilvl="1">
      <w:start w:val="1"/>
      <w:numFmt w:val="decimal"/>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C761432"/>
    <w:multiLevelType w:val="hybridMultilevel"/>
    <w:tmpl w:val="B72817D6"/>
    <w:lvl w:ilvl="0" w:tplc="BBF8ACF2">
      <w:start w:val="1"/>
      <w:numFmt w:val="bullet"/>
      <w:lvlText w:val=""/>
      <w:lvlJc w:val="left"/>
      <w:pPr>
        <w:ind w:left="720" w:hanging="360"/>
      </w:pPr>
      <w:rPr>
        <w:rFonts w:ascii="Symbol" w:hAnsi="Symbol" w:hint="default"/>
        <w:color w:val="FFFFFF" w:themeColor="background1"/>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8A0B59"/>
    <w:multiLevelType w:val="hybridMultilevel"/>
    <w:tmpl w:val="FE9EC2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D24DC0"/>
    <w:multiLevelType w:val="hybridMultilevel"/>
    <w:tmpl w:val="9BC8B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C738C"/>
    <w:multiLevelType w:val="hybridMultilevel"/>
    <w:tmpl w:val="2C34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E35306"/>
    <w:multiLevelType w:val="hybridMultilevel"/>
    <w:tmpl w:val="43160B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1F4A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650ECC"/>
    <w:multiLevelType w:val="hybridMultilevel"/>
    <w:tmpl w:val="CFA0C0D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91BFA"/>
    <w:multiLevelType w:val="hybridMultilevel"/>
    <w:tmpl w:val="DBD2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F033CD"/>
    <w:multiLevelType w:val="hybridMultilevel"/>
    <w:tmpl w:val="59D6C3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892BDD"/>
    <w:multiLevelType w:val="hybridMultilevel"/>
    <w:tmpl w:val="DAA69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026CEA"/>
    <w:multiLevelType w:val="hybridMultilevel"/>
    <w:tmpl w:val="63B6D7BA"/>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nsid w:val="393B498D"/>
    <w:multiLevelType w:val="hybridMultilevel"/>
    <w:tmpl w:val="F254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E620AB"/>
    <w:multiLevelType w:val="hybridMultilevel"/>
    <w:tmpl w:val="E3E8E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A96363"/>
    <w:multiLevelType w:val="hybridMultilevel"/>
    <w:tmpl w:val="43C44302"/>
    <w:lvl w:ilvl="0" w:tplc="EDD249A4">
      <w:numFmt w:val="bullet"/>
      <w:lvlText w:val="–"/>
      <w:lvlJc w:val="left"/>
      <w:pPr>
        <w:ind w:left="4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100FF"/>
    <w:multiLevelType w:val="hybridMultilevel"/>
    <w:tmpl w:val="B5CE1B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0A4990"/>
    <w:multiLevelType w:val="hybridMultilevel"/>
    <w:tmpl w:val="E398F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E01CA3"/>
    <w:multiLevelType w:val="hybridMultilevel"/>
    <w:tmpl w:val="890C23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Arial"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Arial"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56874456"/>
    <w:multiLevelType w:val="hybridMultilevel"/>
    <w:tmpl w:val="9850D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6B7602B"/>
    <w:multiLevelType w:val="multilevel"/>
    <w:tmpl w:val="664ABA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6D2742A"/>
    <w:multiLevelType w:val="hybridMultilevel"/>
    <w:tmpl w:val="6224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F4581"/>
    <w:multiLevelType w:val="hybridMultilevel"/>
    <w:tmpl w:val="327897BC"/>
    <w:lvl w:ilvl="0" w:tplc="0C090003">
      <w:start w:val="1"/>
      <w:numFmt w:val="bullet"/>
      <w:lvlText w:val="o"/>
      <w:lvlJc w:val="left"/>
      <w:pPr>
        <w:ind w:left="720" w:hanging="360"/>
      </w:pPr>
      <w:rPr>
        <w:rFonts w:ascii="Courier New" w:hAnsi="Courier New" w:cs="Aria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4911BF"/>
    <w:multiLevelType w:val="hybridMultilevel"/>
    <w:tmpl w:val="F00ED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962004"/>
    <w:multiLevelType w:val="hybridMultilevel"/>
    <w:tmpl w:val="EFDC7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F94880"/>
    <w:multiLevelType w:val="hybridMultilevel"/>
    <w:tmpl w:val="706C3A4C"/>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4D28AD"/>
    <w:multiLevelType w:val="hybridMultilevel"/>
    <w:tmpl w:val="6DA27F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2ED7331"/>
    <w:multiLevelType w:val="hybridMultilevel"/>
    <w:tmpl w:val="C8E0C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FC62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6103B5F"/>
    <w:multiLevelType w:val="hybridMultilevel"/>
    <w:tmpl w:val="8AFE9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7672B6D"/>
    <w:multiLevelType w:val="hybridMultilevel"/>
    <w:tmpl w:val="691CB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D159A0"/>
    <w:multiLevelType w:val="hybridMultilevel"/>
    <w:tmpl w:val="227A2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BD401EB"/>
    <w:multiLevelType w:val="hybridMultilevel"/>
    <w:tmpl w:val="2E5A8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200AA0"/>
    <w:multiLevelType w:val="hybridMultilevel"/>
    <w:tmpl w:val="C156A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824BC8"/>
    <w:multiLevelType w:val="hybridMultilevel"/>
    <w:tmpl w:val="F790D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A747ED"/>
    <w:multiLevelType w:val="hybridMultilevel"/>
    <w:tmpl w:val="1636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83E93"/>
    <w:multiLevelType w:val="hybridMultilevel"/>
    <w:tmpl w:val="DF5699C4"/>
    <w:lvl w:ilvl="0" w:tplc="0C090001">
      <w:start w:val="1"/>
      <w:numFmt w:val="bullet"/>
      <w:lvlText w:val=""/>
      <w:lvlJc w:val="left"/>
      <w:pPr>
        <w:ind w:left="3164" w:hanging="360"/>
      </w:pPr>
      <w:rPr>
        <w:rFonts w:ascii="Symbol" w:hAnsi="Symbol" w:hint="default"/>
      </w:rPr>
    </w:lvl>
    <w:lvl w:ilvl="1" w:tplc="0C090003" w:tentative="1">
      <w:start w:val="1"/>
      <w:numFmt w:val="bullet"/>
      <w:lvlText w:val="o"/>
      <w:lvlJc w:val="left"/>
      <w:pPr>
        <w:ind w:left="3884" w:hanging="360"/>
      </w:pPr>
      <w:rPr>
        <w:rFonts w:ascii="Courier New" w:hAnsi="Courier New" w:cs="Arial" w:hint="default"/>
      </w:rPr>
    </w:lvl>
    <w:lvl w:ilvl="2" w:tplc="0C090005" w:tentative="1">
      <w:start w:val="1"/>
      <w:numFmt w:val="bullet"/>
      <w:lvlText w:val=""/>
      <w:lvlJc w:val="left"/>
      <w:pPr>
        <w:ind w:left="4604" w:hanging="360"/>
      </w:pPr>
      <w:rPr>
        <w:rFonts w:ascii="Wingdings" w:hAnsi="Wingdings" w:hint="default"/>
      </w:rPr>
    </w:lvl>
    <w:lvl w:ilvl="3" w:tplc="0C090001" w:tentative="1">
      <w:start w:val="1"/>
      <w:numFmt w:val="bullet"/>
      <w:lvlText w:val=""/>
      <w:lvlJc w:val="left"/>
      <w:pPr>
        <w:ind w:left="5324" w:hanging="360"/>
      </w:pPr>
      <w:rPr>
        <w:rFonts w:ascii="Symbol" w:hAnsi="Symbol" w:hint="default"/>
      </w:rPr>
    </w:lvl>
    <w:lvl w:ilvl="4" w:tplc="0C090003" w:tentative="1">
      <w:start w:val="1"/>
      <w:numFmt w:val="bullet"/>
      <w:lvlText w:val="o"/>
      <w:lvlJc w:val="left"/>
      <w:pPr>
        <w:ind w:left="6044" w:hanging="360"/>
      </w:pPr>
      <w:rPr>
        <w:rFonts w:ascii="Courier New" w:hAnsi="Courier New" w:cs="Arial" w:hint="default"/>
      </w:rPr>
    </w:lvl>
    <w:lvl w:ilvl="5" w:tplc="0C090005" w:tentative="1">
      <w:start w:val="1"/>
      <w:numFmt w:val="bullet"/>
      <w:lvlText w:val=""/>
      <w:lvlJc w:val="left"/>
      <w:pPr>
        <w:ind w:left="6764" w:hanging="360"/>
      </w:pPr>
      <w:rPr>
        <w:rFonts w:ascii="Wingdings" w:hAnsi="Wingdings" w:hint="default"/>
      </w:rPr>
    </w:lvl>
    <w:lvl w:ilvl="6" w:tplc="0C090001" w:tentative="1">
      <w:start w:val="1"/>
      <w:numFmt w:val="bullet"/>
      <w:lvlText w:val=""/>
      <w:lvlJc w:val="left"/>
      <w:pPr>
        <w:ind w:left="7484" w:hanging="360"/>
      </w:pPr>
      <w:rPr>
        <w:rFonts w:ascii="Symbol" w:hAnsi="Symbol" w:hint="default"/>
      </w:rPr>
    </w:lvl>
    <w:lvl w:ilvl="7" w:tplc="0C090003" w:tentative="1">
      <w:start w:val="1"/>
      <w:numFmt w:val="bullet"/>
      <w:lvlText w:val="o"/>
      <w:lvlJc w:val="left"/>
      <w:pPr>
        <w:ind w:left="8204" w:hanging="360"/>
      </w:pPr>
      <w:rPr>
        <w:rFonts w:ascii="Courier New" w:hAnsi="Courier New" w:cs="Arial" w:hint="default"/>
      </w:rPr>
    </w:lvl>
    <w:lvl w:ilvl="8" w:tplc="0C090005" w:tentative="1">
      <w:start w:val="1"/>
      <w:numFmt w:val="bullet"/>
      <w:lvlText w:val=""/>
      <w:lvlJc w:val="left"/>
      <w:pPr>
        <w:ind w:left="8924" w:hanging="360"/>
      </w:pPr>
      <w:rPr>
        <w:rFonts w:ascii="Wingdings" w:hAnsi="Wingdings" w:hint="default"/>
      </w:rPr>
    </w:lvl>
  </w:abstractNum>
  <w:abstractNum w:abstractNumId="43">
    <w:nsid w:val="7E276DA1"/>
    <w:multiLevelType w:val="hybridMultilevel"/>
    <w:tmpl w:val="C056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6"/>
  </w:num>
  <w:num w:numId="4">
    <w:abstractNumId w:val="24"/>
  </w:num>
  <w:num w:numId="5">
    <w:abstractNumId w:val="18"/>
  </w:num>
  <w:num w:numId="6">
    <w:abstractNumId w:val="18"/>
  </w:num>
  <w:num w:numId="7">
    <w:abstractNumId w:val="33"/>
  </w:num>
  <w:num w:numId="8">
    <w:abstractNumId w:val="3"/>
  </w:num>
  <w:num w:numId="9">
    <w:abstractNumId w:val="37"/>
  </w:num>
  <w:num w:numId="10">
    <w:abstractNumId w:val="13"/>
  </w:num>
  <w:num w:numId="11">
    <w:abstractNumId w:val="43"/>
  </w:num>
  <w:num w:numId="12">
    <w:abstractNumId w:val="34"/>
  </w:num>
  <w:num w:numId="13">
    <w:abstractNumId w:val="38"/>
  </w:num>
  <w:num w:numId="14">
    <w:abstractNumId w:val="9"/>
  </w:num>
  <w:num w:numId="15">
    <w:abstractNumId w:val="8"/>
  </w:num>
  <w:num w:numId="16">
    <w:abstractNumId w:val="15"/>
  </w:num>
  <w:num w:numId="17">
    <w:abstractNumId w:val="0"/>
  </w:num>
  <w:num w:numId="18">
    <w:abstractNumId w:val="1"/>
  </w:num>
  <w:num w:numId="19">
    <w:abstractNumId w:val="22"/>
  </w:num>
  <w:num w:numId="20">
    <w:abstractNumId w:val="30"/>
  </w:num>
  <w:num w:numId="21">
    <w:abstractNumId w:val="4"/>
  </w:num>
  <w:num w:numId="22">
    <w:abstractNumId w:val="23"/>
  </w:num>
  <w:num w:numId="23">
    <w:abstractNumId w:val="7"/>
  </w:num>
  <w:num w:numId="24">
    <w:abstractNumId w:val="28"/>
  </w:num>
  <w:num w:numId="25">
    <w:abstractNumId w:val="11"/>
  </w:num>
  <w:num w:numId="26">
    <w:abstractNumId w:val="12"/>
  </w:num>
  <w:num w:numId="27">
    <w:abstractNumId w:val="32"/>
  </w:num>
  <w:num w:numId="28">
    <w:abstractNumId w:val="20"/>
  </w:num>
  <w:num w:numId="29">
    <w:abstractNumId w:val="16"/>
  </w:num>
  <w:num w:numId="30">
    <w:abstractNumId w:val="25"/>
  </w:num>
  <w:num w:numId="31">
    <w:abstractNumId w:val="29"/>
  </w:num>
  <w:num w:numId="32">
    <w:abstractNumId w:val="8"/>
  </w:num>
  <w:num w:numId="33">
    <w:abstractNumId w:val="38"/>
  </w:num>
  <w:num w:numId="34">
    <w:abstractNumId w:val="39"/>
  </w:num>
  <w:num w:numId="35">
    <w:abstractNumId w:val="42"/>
  </w:num>
  <w:num w:numId="36">
    <w:abstractNumId w:val="26"/>
  </w:num>
  <w:num w:numId="37">
    <w:abstractNumId w:val="35"/>
  </w:num>
  <w:num w:numId="38">
    <w:abstractNumId w:val="31"/>
  </w:num>
  <w:num w:numId="39">
    <w:abstractNumId w:val="19"/>
  </w:num>
  <w:num w:numId="40">
    <w:abstractNumId w:val="40"/>
  </w:num>
  <w:num w:numId="41">
    <w:abstractNumId w:val="17"/>
  </w:num>
  <w:num w:numId="42">
    <w:abstractNumId w:val="21"/>
  </w:num>
  <w:num w:numId="43">
    <w:abstractNumId w:val="2"/>
  </w:num>
  <w:num w:numId="44">
    <w:abstractNumId w:val="14"/>
  </w:num>
  <w:num w:numId="45">
    <w:abstractNumId w:val="36"/>
  </w:num>
  <w:num w:numId="46">
    <w:abstractNumId w:val="41"/>
  </w:num>
  <w:num w:numId="47">
    <w:abstractNumId w:val="10"/>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applyBreakingRules/>
    <w:useFELayout/>
  </w:compat>
  <w:rsids>
    <w:rsidRoot w:val="00532B0A"/>
    <w:rsid w:val="0000623F"/>
    <w:rsid w:val="00011C11"/>
    <w:rsid w:val="0001742E"/>
    <w:rsid w:val="00023F49"/>
    <w:rsid w:val="00041FF7"/>
    <w:rsid w:val="00051A25"/>
    <w:rsid w:val="0005266F"/>
    <w:rsid w:val="000C5F60"/>
    <w:rsid w:val="000D40B6"/>
    <w:rsid w:val="000E0994"/>
    <w:rsid w:val="000E429C"/>
    <w:rsid w:val="000E5662"/>
    <w:rsid w:val="001233F0"/>
    <w:rsid w:val="00135045"/>
    <w:rsid w:val="001361FB"/>
    <w:rsid w:val="00144609"/>
    <w:rsid w:val="001521B7"/>
    <w:rsid w:val="00155573"/>
    <w:rsid w:val="001637A7"/>
    <w:rsid w:val="001716D3"/>
    <w:rsid w:val="001802ED"/>
    <w:rsid w:val="00182E00"/>
    <w:rsid w:val="00186C71"/>
    <w:rsid w:val="00194684"/>
    <w:rsid w:val="00194A53"/>
    <w:rsid w:val="0019704A"/>
    <w:rsid w:val="001A4872"/>
    <w:rsid w:val="001A75F4"/>
    <w:rsid w:val="001A7E91"/>
    <w:rsid w:val="001D6CDC"/>
    <w:rsid w:val="001F56CF"/>
    <w:rsid w:val="00204DFA"/>
    <w:rsid w:val="00214F71"/>
    <w:rsid w:val="00223A8E"/>
    <w:rsid w:val="00225F7F"/>
    <w:rsid w:val="00227B1E"/>
    <w:rsid w:val="002327D1"/>
    <w:rsid w:val="0023285A"/>
    <w:rsid w:val="00251772"/>
    <w:rsid w:val="00261219"/>
    <w:rsid w:val="002823D3"/>
    <w:rsid w:val="002945AF"/>
    <w:rsid w:val="002A2AF2"/>
    <w:rsid w:val="002B2D4D"/>
    <w:rsid w:val="002C0394"/>
    <w:rsid w:val="0030304E"/>
    <w:rsid w:val="00312452"/>
    <w:rsid w:val="003142A5"/>
    <w:rsid w:val="00323684"/>
    <w:rsid w:val="00323880"/>
    <w:rsid w:val="00325795"/>
    <w:rsid w:val="003457AE"/>
    <w:rsid w:val="00355AFA"/>
    <w:rsid w:val="003574A8"/>
    <w:rsid w:val="003800F3"/>
    <w:rsid w:val="003D37C6"/>
    <w:rsid w:val="003E1EA5"/>
    <w:rsid w:val="003F4EAC"/>
    <w:rsid w:val="00405FC9"/>
    <w:rsid w:val="00423834"/>
    <w:rsid w:val="00423F49"/>
    <w:rsid w:val="0044284F"/>
    <w:rsid w:val="004479CE"/>
    <w:rsid w:val="0046656F"/>
    <w:rsid w:val="00482AFC"/>
    <w:rsid w:val="00483C97"/>
    <w:rsid w:val="004840C8"/>
    <w:rsid w:val="00486521"/>
    <w:rsid w:val="00486BD5"/>
    <w:rsid w:val="00490080"/>
    <w:rsid w:val="004A7BD7"/>
    <w:rsid w:val="004D14C1"/>
    <w:rsid w:val="004D7C98"/>
    <w:rsid w:val="004F2E1D"/>
    <w:rsid w:val="0050028B"/>
    <w:rsid w:val="00523852"/>
    <w:rsid w:val="00530FDE"/>
    <w:rsid w:val="00532B0A"/>
    <w:rsid w:val="00541098"/>
    <w:rsid w:val="005714C7"/>
    <w:rsid w:val="00576065"/>
    <w:rsid w:val="005808E9"/>
    <w:rsid w:val="00580A26"/>
    <w:rsid w:val="005B1E6E"/>
    <w:rsid w:val="005C5E75"/>
    <w:rsid w:val="0060225C"/>
    <w:rsid w:val="00612EFD"/>
    <w:rsid w:val="00614F09"/>
    <w:rsid w:val="00622704"/>
    <w:rsid w:val="0062511B"/>
    <w:rsid w:val="00632114"/>
    <w:rsid w:val="00641725"/>
    <w:rsid w:val="00652D39"/>
    <w:rsid w:val="00682C97"/>
    <w:rsid w:val="006A42EE"/>
    <w:rsid w:val="006A4612"/>
    <w:rsid w:val="006C1F5D"/>
    <w:rsid w:val="006C4FC8"/>
    <w:rsid w:val="006D61B2"/>
    <w:rsid w:val="006D6432"/>
    <w:rsid w:val="006F60B3"/>
    <w:rsid w:val="00720F92"/>
    <w:rsid w:val="007313BA"/>
    <w:rsid w:val="0073165B"/>
    <w:rsid w:val="00732B9A"/>
    <w:rsid w:val="007573E4"/>
    <w:rsid w:val="0076536E"/>
    <w:rsid w:val="00771863"/>
    <w:rsid w:val="00775DBF"/>
    <w:rsid w:val="00786C74"/>
    <w:rsid w:val="007878C7"/>
    <w:rsid w:val="00794F65"/>
    <w:rsid w:val="00795D23"/>
    <w:rsid w:val="007A3852"/>
    <w:rsid w:val="007C5F1A"/>
    <w:rsid w:val="007D1CF0"/>
    <w:rsid w:val="007D454E"/>
    <w:rsid w:val="007F131D"/>
    <w:rsid w:val="00817226"/>
    <w:rsid w:val="008246C9"/>
    <w:rsid w:val="00834D4F"/>
    <w:rsid w:val="008500D1"/>
    <w:rsid w:val="008551F7"/>
    <w:rsid w:val="00863369"/>
    <w:rsid w:val="0087354B"/>
    <w:rsid w:val="008737F4"/>
    <w:rsid w:val="008861E3"/>
    <w:rsid w:val="008A5D3D"/>
    <w:rsid w:val="008A63CD"/>
    <w:rsid w:val="008A69F8"/>
    <w:rsid w:val="008D7758"/>
    <w:rsid w:val="008D7D60"/>
    <w:rsid w:val="008F2A64"/>
    <w:rsid w:val="00901558"/>
    <w:rsid w:val="00914C6B"/>
    <w:rsid w:val="00920338"/>
    <w:rsid w:val="0092266A"/>
    <w:rsid w:val="009368C2"/>
    <w:rsid w:val="0096554C"/>
    <w:rsid w:val="009710C2"/>
    <w:rsid w:val="00975B16"/>
    <w:rsid w:val="00981548"/>
    <w:rsid w:val="0099052B"/>
    <w:rsid w:val="009A4EB9"/>
    <w:rsid w:val="009C3DCF"/>
    <w:rsid w:val="009C5F55"/>
    <w:rsid w:val="009C7B38"/>
    <w:rsid w:val="009D0A38"/>
    <w:rsid w:val="009D4AB2"/>
    <w:rsid w:val="009E1870"/>
    <w:rsid w:val="00A051B8"/>
    <w:rsid w:val="00A06A28"/>
    <w:rsid w:val="00A26761"/>
    <w:rsid w:val="00A33B01"/>
    <w:rsid w:val="00A431F0"/>
    <w:rsid w:val="00A46D64"/>
    <w:rsid w:val="00A5413A"/>
    <w:rsid w:val="00A6244A"/>
    <w:rsid w:val="00A70552"/>
    <w:rsid w:val="00A90B99"/>
    <w:rsid w:val="00A95CB6"/>
    <w:rsid w:val="00AA4FF3"/>
    <w:rsid w:val="00AA6B97"/>
    <w:rsid w:val="00AC4CAC"/>
    <w:rsid w:val="00AC4ECE"/>
    <w:rsid w:val="00AD6803"/>
    <w:rsid w:val="00AD7B0E"/>
    <w:rsid w:val="00AE2B00"/>
    <w:rsid w:val="00B15928"/>
    <w:rsid w:val="00B17293"/>
    <w:rsid w:val="00B2074A"/>
    <w:rsid w:val="00B33A7A"/>
    <w:rsid w:val="00B527BF"/>
    <w:rsid w:val="00B70BD9"/>
    <w:rsid w:val="00B71B9C"/>
    <w:rsid w:val="00B80C16"/>
    <w:rsid w:val="00B95C67"/>
    <w:rsid w:val="00B974B1"/>
    <w:rsid w:val="00BA20E2"/>
    <w:rsid w:val="00BD186A"/>
    <w:rsid w:val="00BE35AE"/>
    <w:rsid w:val="00BE61A9"/>
    <w:rsid w:val="00BE79AD"/>
    <w:rsid w:val="00BF5C79"/>
    <w:rsid w:val="00C06CB3"/>
    <w:rsid w:val="00C1303A"/>
    <w:rsid w:val="00C2392C"/>
    <w:rsid w:val="00C2511E"/>
    <w:rsid w:val="00C508D2"/>
    <w:rsid w:val="00C7364A"/>
    <w:rsid w:val="00C819DC"/>
    <w:rsid w:val="00C87ADB"/>
    <w:rsid w:val="00CA0559"/>
    <w:rsid w:val="00CA4128"/>
    <w:rsid w:val="00CB3CA5"/>
    <w:rsid w:val="00CB6F91"/>
    <w:rsid w:val="00CC6BF8"/>
    <w:rsid w:val="00CD0F8A"/>
    <w:rsid w:val="00D30569"/>
    <w:rsid w:val="00D305E4"/>
    <w:rsid w:val="00D4017B"/>
    <w:rsid w:val="00D65885"/>
    <w:rsid w:val="00D86534"/>
    <w:rsid w:val="00DD663C"/>
    <w:rsid w:val="00DE0073"/>
    <w:rsid w:val="00DE4C70"/>
    <w:rsid w:val="00E003AB"/>
    <w:rsid w:val="00E23BAF"/>
    <w:rsid w:val="00E267C6"/>
    <w:rsid w:val="00E36F50"/>
    <w:rsid w:val="00E53CDC"/>
    <w:rsid w:val="00E629A5"/>
    <w:rsid w:val="00E6762D"/>
    <w:rsid w:val="00E676DF"/>
    <w:rsid w:val="00E77CFC"/>
    <w:rsid w:val="00E82B6F"/>
    <w:rsid w:val="00E9250B"/>
    <w:rsid w:val="00E95FB4"/>
    <w:rsid w:val="00EA7405"/>
    <w:rsid w:val="00EB17E8"/>
    <w:rsid w:val="00F2025B"/>
    <w:rsid w:val="00F42EB9"/>
    <w:rsid w:val="00F5119A"/>
    <w:rsid w:val="00F7725D"/>
    <w:rsid w:val="00F905B4"/>
    <w:rsid w:val="00F956B2"/>
    <w:rsid w:val="00F97504"/>
    <w:rsid w:val="00FB1389"/>
    <w:rsid w:val="00FB2EE6"/>
    <w:rsid w:val="00FB397A"/>
    <w:rsid w:val="00FB6418"/>
    <w:rsid w:val="00FC14EA"/>
    <w:rsid w:val="00FC3E18"/>
    <w:rsid w:val="00FC50A0"/>
    <w:rsid w:val="00FC71B6"/>
    <w:rsid w:val="00FD44D0"/>
    <w:rsid w:val="00FF2371"/>
  </w:rsids>
  <m:mathPr>
    <m:mathFont m:val="Batang"/>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76">
    <w:lsdException w:name="heading 1" w:qFormat="1"/>
    <w:lsdException w:name="heading 2"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Body Text" w:uiPriority="99"/>
    <w:lsdException w:name="Body Text 3" w:uiPriority="99"/>
    <w:lsdException w:name="Hyperlink" w:uiPriority="99"/>
    <w:lsdException w:name="Strong" w:uiPriority="22" w:qFormat="1"/>
    <w:lsdException w:name="Normal (Web)" w:uiPriority="99"/>
    <w:lsdException w:name="annotation subject" w:uiPriority="99"/>
    <w:lsdException w:name="Balloon Text" w:uiPriority="99"/>
    <w:lsdException w:name="Table Grid" w:uiPriority="59"/>
    <w:lsdException w:name="No Spacing" w:uiPriority="1" w:qFormat="1"/>
    <w:lsdException w:name="List Paragraph" w:uiPriority="34" w:qFormat="1"/>
  </w:latentStyles>
  <w:style w:type="paragraph" w:default="1" w:styleId="Normal">
    <w:name w:val="Normal"/>
    <w:qFormat/>
    <w:rsid w:val="007313BA"/>
  </w:style>
  <w:style w:type="paragraph" w:styleId="Heading1">
    <w:name w:val="heading 1"/>
    <w:basedOn w:val="Normal"/>
    <w:next w:val="Normal"/>
    <w:link w:val="Heading1Char"/>
    <w:qFormat/>
    <w:rsid w:val="00532B0A"/>
    <w:pPr>
      <w:keepNext/>
      <w:suppressAutoHyphens/>
      <w:spacing w:before="360" w:after="120" w:line="240" w:lineRule="auto"/>
      <w:outlineLvl w:val="0"/>
    </w:pPr>
    <w:rPr>
      <w:rFonts w:ascii="Arial" w:eastAsia="Times New Roman" w:hAnsi="Arial" w:cs="Times New Roman"/>
      <w:b/>
      <w:bCs/>
      <w:color w:val="004F87"/>
      <w:sz w:val="36"/>
      <w:szCs w:val="32"/>
      <w:lang w:eastAsia="en-US"/>
    </w:rPr>
  </w:style>
  <w:style w:type="paragraph" w:styleId="Heading2">
    <w:name w:val="heading 2"/>
    <w:basedOn w:val="Normal"/>
    <w:next w:val="Normal"/>
    <w:link w:val="Heading2Char"/>
    <w:uiPriority w:val="9"/>
    <w:unhideWhenUsed/>
    <w:qFormat/>
    <w:rsid w:val="00682C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32B0A"/>
    <w:rPr>
      <w:rFonts w:ascii="Arial" w:eastAsia="Times New Roman" w:hAnsi="Arial" w:cs="Times New Roman"/>
      <w:b/>
      <w:bCs/>
      <w:color w:val="004F87"/>
      <w:sz w:val="36"/>
      <w:szCs w:val="32"/>
      <w:lang w:eastAsia="en-US"/>
    </w:rPr>
  </w:style>
  <w:style w:type="table" w:styleId="TableGrid">
    <w:name w:val="Table Grid"/>
    <w:basedOn w:val="TableNormal"/>
    <w:uiPriority w:val="59"/>
    <w:rsid w:val="00532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2B0A"/>
    <w:pPr>
      <w:spacing w:after="0"/>
      <w:ind w:left="720"/>
      <w:contextualSpacing/>
    </w:pPr>
    <w:rPr>
      <w:rFonts w:ascii="Calibri" w:eastAsia="Calibri" w:hAnsi="Calibri" w:cs="Times New Roman"/>
      <w:lang w:eastAsia="en-US"/>
    </w:rPr>
  </w:style>
  <w:style w:type="character" w:styleId="Hyperlink">
    <w:name w:val="Hyperlink"/>
    <w:basedOn w:val="DefaultParagraphFont"/>
    <w:uiPriority w:val="99"/>
    <w:rsid w:val="00A051B8"/>
    <w:rPr>
      <w:rFonts w:cs="Times New Roman"/>
      <w:color w:val="0000FF"/>
      <w:u w:val="single"/>
    </w:rPr>
  </w:style>
  <w:style w:type="paragraph" w:customStyle="1" w:styleId="BodyText">
    <w:name w:val="BodyText"/>
    <w:basedOn w:val="BodyText0"/>
    <w:next w:val="BodyText0"/>
    <w:qFormat/>
    <w:rsid w:val="00A051B8"/>
    <w:pPr>
      <w:spacing w:after="0" w:line="240" w:lineRule="auto"/>
    </w:pPr>
    <w:rPr>
      <w:rFonts w:ascii="Arial" w:eastAsia="Cambria" w:hAnsi="Arial" w:cs="Times New Roman"/>
      <w:color w:val="000000"/>
      <w:sz w:val="18"/>
      <w:szCs w:val="24"/>
      <w:lang w:eastAsia="en-US"/>
    </w:rPr>
  </w:style>
  <w:style w:type="paragraph" w:styleId="BodyText0">
    <w:name w:val="Body Text"/>
    <w:basedOn w:val="Normal"/>
    <w:link w:val="BodyTextChar"/>
    <w:uiPriority w:val="99"/>
    <w:unhideWhenUsed/>
    <w:rsid w:val="00A051B8"/>
    <w:pPr>
      <w:spacing w:after="120"/>
    </w:pPr>
  </w:style>
  <w:style w:type="character" w:customStyle="1" w:styleId="BodyTextChar">
    <w:name w:val="Body Text Char"/>
    <w:basedOn w:val="DefaultParagraphFont"/>
    <w:link w:val="BodyText0"/>
    <w:uiPriority w:val="99"/>
    <w:rsid w:val="00A051B8"/>
  </w:style>
  <w:style w:type="paragraph" w:customStyle="1" w:styleId="00ItemNo">
    <w:name w:val="00 Item No."/>
    <w:basedOn w:val="Normal"/>
    <w:uiPriority w:val="99"/>
    <w:rsid w:val="00A051B8"/>
    <w:pPr>
      <w:spacing w:after="0" w:line="240" w:lineRule="auto"/>
      <w:ind w:left="720" w:hanging="720"/>
    </w:pPr>
    <w:rPr>
      <w:rFonts w:ascii="Times New Roman" w:eastAsia="Times New Roman" w:hAnsi="Times New Roman" w:cs="Times New Roman"/>
      <w:b/>
      <w:sz w:val="24"/>
      <w:szCs w:val="20"/>
      <w:lang w:eastAsia="en-US"/>
    </w:rPr>
  </w:style>
  <w:style w:type="paragraph" w:customStyle="1" w:styleId="BlueBold">
    <w:name w:val="BlueBold"/>
    <w:basedOn w:val="BodyText0"/>
    <w:qFormat/>
    <w:rsid w:val="00A051B8"/>
    <w:pPr>
      <w:spacing w:before="100" w:beforeAutospacing="1" w:after="100" w:afterAutospacing="1" w:line="240" w:lineRule="auto"/>
    </w:pPr>
    <w:rPr>
      <w:rFonts w:ascii="Arial" w:eastAsia="Cambria" w:hAnsi="Arial" w:cs="Times New Roman"/>
      <w:b/>
      <w:caps/>
      <w:color w:val="004F87"/>
      <w:sz w:val="18"/>
      <w:szCs w:val="24"/>
      <w:lang w:eastAsia="en-US"/>
    </w:rPr>
  </w:style>
  <w:style w:type="paragraph" w:styleId="Header">
    <w:name w:val="header"/>
    <w:basedOn w:val="Normal"/>
    <w:link w:val="HeaderChar"/>
    <w:uiPriority w:val="99"/>
    <w:unhideWhenUsed/>
    <w:rsid w:val="00B71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B9C"/>
  </w:style>
  <w:style w:type="paragraph" w:styleId="Footer">
    <w:name w:val="footer"/>
    <w:basedOn w:val="Normal"/>
    <w:link w:val="FooterChar"/>
    <w:uiPriority w:val="99"/>
    <w:unhideWhenUsed/>
    <w:rsid w:val="00B71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B9C"/>
  </w:style>
  <w:style w:type="paragraph" w:styleId="NoSpacing">
    <w:name w:val="No Spacing"/>
    <w:uiPriority w:val="1"/>
    <w:qFormat/>
    <w:rsid w:val="00682C97"/>
    <w:pPr>
      <w:spacing w:after="0" w:line="240" w:lineRule="auto"/>
    </w:pPr>
  </w:style>
  <w:style w:type="character" w:customStyle="1" w:styleId="Heading2Char">
    <w:name w:val="Heading 2 Char"/>
    <w:basedOn w:val="DefaultParagraphFont"/>
    <w:link w:val="Heading2"/>
    <w:uiPriority w:val="9"/>
    <w:rsid w:val="00682C9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6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4C"/>
    <w:rPr>
      <w:rFonts w:ascii="Tahoma" w:hAnsi="Tahoma" w:cs="Tahoma"/>
      <w:sz w:val="16"/>
      <w:szCs w:val="16"/>
    </w:rPr>
  </w:style>
  <w:style w:type="paragraph" w:styleId="NormalWeb">
    <w:name w:val="Normal (Web)"/>
    <w:basedOn w:val="Normal"/>
    <w:uiPriority w:val="99"/>
    <w:semiHidden/>
    <w:unhideWhenUsed/>
    <w:rsid w:val="0096554C"/>
    <w:rPr>
      <w:rFonts w:ascii="Times New Roman" w:hAnsi="Times New Roman" w:cs="Times New Roman"/>
      <w:sz w:val="24"/>
      <w:szCs w:val="24"/>
    </w:rPr>
  </w:style>
  <w:style w:type="character" w:styleId="Strong">
    <w:name w:val="Strong"/>
    <w:basedOn w:val="DefaultParagraphFont"/>
    <w:uiPriority w:val="22"/>
    <w:qFormat/>
    <w:rsid w:val="005B1E6E"/>
    <w:rPr>
      <w:b/>
      <w:bCs/>
      <w:sz w:val="22"/>
    </w:rPr>
  </w:style>
  <w:style w:type="character" w:styleId="CommentReference">
    <w:name w:val="annotation reference"/>
    <w:basedOn w:val="DefaultParagraphFont"/>
    <w:uiPriority w:val="99"/>
    <w:semiHidden/>
    <w:unhideWhenUsed/>
    <w:rsid w:val="001637A7"/>
    <w:rPr>
      <w:sz w:val="18"/>
      <w:szCs w:val="18"/>
    </w:rPr>
  </w:style>
  <w:style w:type="paragraph" w:styleId="CommentText">
    <w:name w:val="annotation text"/>
    <w:basedOn w:val="Normal"/>
    <w:link w:val="CommentTextChar"/>
    <w:uiPriority w:val="99"/>
    <w:semiHidden/>
    <w:unhideWhenUsed/>
    <w:rsid w:val="001637A7"/>
    <w:pPr>
      <w:spacing w:line="240" w:lineRule="auto"/>
    </w:pPr>
    <w:rPr>
      <w:sz w:val="24"/>
      <w:szCs w:val="24"/>
    </w:rPr>
  </w:style>
  <w:style w:type="character" w:customStyle="1" w:styleId="CommentTextChar">
    <w:name w:val="Comment Text Char"/>
    <w:basedOn w:val="DefaultParagraphFont"/>
    <w:link w:val="CommentText"/>
    <w:uiPriority w:val="99"/>
    <w:semiHidden/>
    <w:rsid w:val="001637A7"/>
    <w:rPr>
      <w:sz w:val="24"/>
      <w:szCs w:val="24"/>
    </w:rPr>
  </w:style>
  <w:style w:type="paragraph" w:styleId="CommentSubject">
    <w:name w:val="annotation subject"/>
    <w:basedOn w:val="CommentText"/>
    <w:next w:val="CommentText"/>
    <w:link w:val="CommentSubjectChar"/>
    <w:uiPriority w:val="99"/>
    <w:semiHidden/>
    <w:unhideWhenUsed/>
    <w:rsid w:val="001637A7"/>
    <w:rPr>
      <w:b/>
      <w:bCs/>
      <w:sz w:val="20"/>
      <w:szCs w:val="20"/>
    </w:rPr>
  </w:style>
  <w:style w:type="character" w:customStyle="1" w:styleId="CommentSubjectChar">
    <w:name w:val="Comment Subject Char"/>
    <w:basedOn w:val="CommentTextChar"/>
    <w:link w:val="CommentSubject"/>
    <w:uiPriority w:val="99"/>
    <w:semiHidden/>
    <w:rsid w:val="001637A7"/>
    <w:rPr>
      <w:b/>
      <w:bCs/>
      <w:sz w:val="20"/>
      <w:szCs w:val="20"/>
    </w:rPr>
  </w:style>
  <w:style w:type="character" w:styleId="FollowedHyperlink">
    <w:name w:val="FollowedHyperlink"/>
    <w:basedOn w:val="DefaultParagraphFont"/>
    <w:uiPriority w:val="99"/>
    <w:semiHidden/>
    <w:unhideWhenUsed/>
    <w:rsid w:val="005808E9"/>
    <w:rPr>
      <w:color w:val="800080" w:themeColor="followedHyperlink"/>
      <w:u w:val="single"/>
    </w:rPr>
  </w:style>
  <w:style w:type="paragraph" w:styleId="BodyText3">
    <w:name w:val="Body Text 3"/>
    <w:basedOn w:val="Normal"/>
    <w:link w:val="BodyText3Char"/>
    <w:uiPriority w:val="99"/>
    <w:unhideWhenUsed/>
    <w:rsid w:val="00F97504"/>
    <w:pPr>
      <w:spacing w:after="120"/>
    </w:pPr>
    <w:rPr>
      <w:sz w:val="16"/>
      <w:szCs w:val="16"/>
    </w:rPr>
  </w:style>
  <w:style w:type="character" w:customStyle="1" w:styleId="BodyText3Char">
    <w:name w:val="Body Text 3 Char"/>
    <w:basedOn w:val="DefaultParagraphFont"/>
    <w:link w:val="BodyText3"/>
    <w:uiPriority w:val="99"/>
    <w:rsid w:val="00F97504"/>
    <w:rPr>
      <w:sz w:val="16"/>
      <w:szCs w:val="16"/>
    </w:rPr>
  </w:style>
  <w:style w:type="paragraph" w:styleId="FootnoteText">
    <w:name w:val="footnote text"/>
    <w:basedOn w:val="Normal"/>
    <w:link w:val="FootnoteTextChar"/>
    <w:uiPriority w:val="99"/>
    <w:unhideWhenUsed/>
    <w:rsid w:val="00041FF7"/>
    <w:pPr>
      <w:spacing w:after="0" w:line="240" w:lineRule="auto"/>
    </w:pPr>
    <w:rPr>
      <w:sz w:val="20"/>
      <w:szCs w:val="20"/>
    </w:rPr>
  </w:style>
  <w:style w:type="character" w:customStyle="1" w:styleId="FootnoteTextChar">
    <w:name w:val="Footnote Text Char"/>
    <w:basedOn w:val="DefaultParagraphFont"/>
    <w:link w:val="FootnoteText"/>
    <w:uiPriority w:val="99"/>
    <w:rsid w:val="00041FF7"/>
    <w:rPr>
      <w:sz w:val="20"/>
      <w:szCs w:val="20"/>
    </w:rPr>
  </w:style>
  <w:style w:type="character" w:styleId="FootnoteReference">
    <w:name w:val="footnote reference"/>
    <w:basedOn w:val="DefaultParagraphFont"/>
    <w:uiPriority w:val="99"/>
    <w:unhideWhenUsed/>
    <w:rsid w:val="00041FF7"/>
    <w:rPr>
      <w:vertAlign w:val="superscript"/>
    </w:rPr>
  </w:style>
  <w:style w:type="character" w:styleId="PageNumber">
    <w:name w:val="page number"/>
    <w:uiPriority w:val="99"/>
    <w:rsid w:val="00F7725D"/>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76">
    <w:lsdException w:name="heading 1" w:qFormat="1"/>
    <w:lsdException w:name="heading 2"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Body Text" w:uiPriority="99"/>
    <w:lsdException w:name="Body Text 3" w:uiPriority="99"/>
    <w:lsdException w:name="Hyperlink" w:uiPriority="99"/>
    <w:lsdException w:name="Strong" w:uiPriority="22" w:qFormat="1"/>
    <w:lsdException w:name="Normal (Web)" w:uiPriority="99"/>
    <w:lsdException w:name="annotation subject" w:uiPriority="99"/>
    <w:lsdException w:name="Balloon Text" w:uiPriority="99"/>
    <w:lsdException w:name="Table Grid" w:uiPriority="59"/>
    <w:lsdException w:name="No Spacing" w:uiPriority="1" w:qFormat="1"/>
    <w:lsdException w:name="List Paragraph" w:uiPriority="34" w:qFormat="1"/>
  </w:latentStyles>
  <w:style w:type="paragraph" w:default="1" w:styleId="Normal">
    <w:name w:val="Normal"/>
    <w:qFormat/>
    <w:rsid w:val="007313BA"/>
  </w:style>
  <w:style w:type="paragraph" w:styleId="Heading1">
    <w:name w:val="heading 1"/>
    <w:basedOn w:val="Normal"/>
    <w:next w:val="Normal"/>
    <w:link w:val="Heading1Char"/>
    <w:qFormat/>
    <w:rsid w:val="00532B0A"/>
    <w:pPr>
      <w:keepNext/>
      <w:suppressAutoHyphens/>
      <w:spacing w:before="360" w:after="120" w:line="240" w:lineRule="auto"/>
      <w:outlineLvl w:val="0"/>
    </w:pPr>
    <w:rPr>
      <w:rFonts w:ascii="Arial" w:eastAsia="Times New Roman" w:hAnsi="Arial" w:cs="Times New Roman"/>
      <w:b/>
      <w:bCs/>
      <w:color w:val="004F87"/>
      <w:sz w:val="36"/>
      <w:szCs w:val="32"/>
      <w:lang w:eastAsia="en-US"/>
    </w:rPr>
  </w:style>
  <w:style w:type="paragraph" w:styleId="Heading2">
    <w:name w:val="heading 2"/>
    <w:basedOn w:val="Normal"/>
    <w:next w:val="Normal"/>
    <w:link w:val="Heading2Char"/>
    <w:uiPriority w:val="9"/>
    <w:unhideWhenUsed/>
    <w:qFormat/>
    <w:rsid w:val="00682C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B0A"/>
    <w:rPr>
      <w:rFonts w:ascii="Arial" w:eastAsia="Times New Roman" w:hAnsi="Arial" w:cs="Times New Roman"/>
      <w:b/>
      <w:bCs/>
      <w:color w:val="004F87"/>
      <w:sz w:val="36"/>
      <w:szCs w:val="32"/>
      <w:lang w:eastAsia="en-US"/>
    </w:rPr>
  </w:style>
  <w:style w:type="table" w:styleId="TableGrid">
    <w:name w:val="Table Grid"/>
    <w:basedOn w:val="TableNormal"/>
    <w:uiPriority w:val="59"/>
    <w:rsid w:val="00532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2B0A"/>
    <w:pPr>
      <w:spacing w:after="0"/>
      <w:ind w:left="720"/>
      <w:contextualSpacing/>
    </w:pPr>
    <w:rPr>
      <w:rFonts w:ascii="Calibri" w:eastAsia="Calibri" w:hAnsi="Calibri" w:cs="Times New Roman"/>
      <w:lang w:eastAsia="en-US"/>
    </w:rPr>
  </w:style>
  <w:style w:type="character" w:styleId="Hyperlink">
    <w:name w:val="Hyperlink"/>
    <w:basedOn w:val="DefaultParagraphFont"/>
    <w:uiPriority w:val="99"/>
    <w:rsid w:val="00A051B8"/>
    <w:rPr>
      <w:rFonts w:cs="Times New Roman"/>
      <w:color w:val="0000FF"/>
      <w:u w:val="single"/>
    </w:rPr>
  </w:style>
  <w:style w:type="paragraph" w:customStyle="1" w:styleId="BodyText">
    <w:name w:val="BodyText"/>
    <w:basedOn w:val="BodyText0"/>
    <w:next w:val="BodyText0"/>
    <w:qFormat/>
    <w:rsid w:val="00A051B8"/>
    <w:pPr>
      <w:spacing w:after="0" w:line="240" w:lineRule="auto"/>
    </w:pPr>
    <w:rPr>
      <w:rFonts w:ascii="Arial" w:eastAsia="Cambria" w:hAnsi="Arial" w:cs="Times New Roman"/>
      <w:color w:val="000000"/>
      <w:sz w:val="18"/>
      <w:szCs w:val="24"/>
      <w:lang w:eastAsia="en-US"/>
    </w:rPr>
  </w:style>
  <w:style w:type="paragraph" w:styleId="BodyText0">
    <w:name w:val="Body Text"/>
    <w:basedOn w:val="Normal"/>
    <w:link w:val="BodyTextChar"/>
    <w:uiPriority w:val="99"/>
    <w:unhideWhenUsed/>
    <w:rsid w:val="00A051B8"/>
    <w:pPr>
      <w:spacing w:after="120"/>
    </w:pPr>
  </w:style>
  <w:style w:type="character" w:customStyle="1" w:styleId="BodyTextChar">
    <w:name w:val="Body Text Char"/>
    <w:basedOn w:val="DefaultParagraphFont"/>
    <w:link w:val="BodyText0"/>
    <w:uiPriority w:val="99"/>
    <w:rsid w:val="00A051B8"/>
  </w:style>
  <w:style w:type="paragraph" w:customStyle="1" w:styleId="00ItemNo">
    <w:name w:val="00 Item No."/>
    <w:basedOn w:val="Normal"/>
    <w:uiPriority w:val="99"/>
    <w:rsid w:val="00A051B8"/>
    <w:pPr>
      <w:spacing w:after="0" w:line="240" w:lineRule="auto"/>
      <w:ind w:left="720" w:hanging="720"/>
    </w:pPr>
    <w:rPr>
      <w:rFonts w:ascii="Times New Roman" w:eastAsia="Times New Roman" w:hAnsi="Times New Roman" w:cs="Times New Roman"/>
      <w:b/>
      <w:sz w:val="24"/>
      <w:szCs w:val="20"/>
      <w:lang w:eastAsia="en-US"/>
    </w:rPr>
  </w:style>
  <w:style w:type="paragraph" w:customStyle="1" w:styleId="BlueBold">
    <w:name w:val="BlueBold"/>
    <w:basedOn w:val="BodyText0"/>
    <w:qFormat/>
    <w:rsid w:val="00A051B8"/>
    <w:pPr>
      <w:spacing w:before="100" w:beforeAutospacing="1" w:after="100" w:afterAutospacing="1" w:line="240" w:lineRule="auto"/>
    </w:pPr>
    <w:rPr>
      <w:rFonts w:ascii="Arial" w:eastAsia="Cambria" w:hAnsi="Arial" w:cs="Times New Roman"/>
      <w:b/>
      <w:caps/>
      <w:color w:val="004F87"/>
      <w:sz w:val="18"/>
      <w:szCs w:val="24"/>
      <w:lang w:eastAsia="en-US"/>
    </w:rPr>
  </w:style>
  <w:style w:type="paragraph" w:styleId="Header">
    <w:name w:val="header"/>
    <w:basedOn w:val="Normal"/>
    <w:link w:val="HeaderChar"/>
    <w:uiPriority w:val="99"/>
    <w:unhideWhenUsed/>
    <w:rsid w:val="00B71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B9C"/>
  </w:style>
  <w:style w:type="paragraph" w:styleId="Footer">
    <w:name w:val="footer"/>
    <w:basedOn w:val="Normal"/>
    <w:link w:val="FooterChar"/>
    <w:uiPriority w:val="99"/>
    <w:unhideWhenUsed/>
    <w:rsid w:val="00B71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B9C"/>
  </w:style>
  <w:style w:type="paragraph" w:styleId="NoSpacing">
    <w:name w:val="No Spacing"/>
    <w:uiPriority w:val="1"/>
    <w:qFormat/>
    <w:rsid w:val="00682C97"/>
    <w:pPr>
      <w:spacing w:after="0" w:line="240" w:lineRule="auto"/>
    </w:pPr>
  </w:style>
  <w:style w:type="character" w:customStyle="1" w:styleId="Heading2Char">
    <w:name w:val="Heading 2 Char"/>
    <w:basedOn w:val="DefaultParagraphFont"/>
    <w:link w:val="Heading2"/>
    <w:uiPriority w:val="9"/>
    <w:rsid w:val="00682C9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65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4C"/>
    <w:rPr>
      <w:rFonts w:ascii="Tahoma" w:hAnsi="Tahoma" w:cs="Tahoma"/>
      <w:sz w:val="16"/>
      <w:szCs w:val="16"/>
    </w:rPr>
  </w:style>
  <w:style w:type="paragraph" w:styleId="NormalWeb">
    <w:name w:val="Normal (Web)"/>
    <w:basedOn w:val="Normal"/>
    <w:uiPriority w:val="99"/>
    <w:semiHidden/>
    <w:unhideWhenUsed/>
    <w:rsid w:val="0096554C"/>
    <w:rPr>
      <w:rFonts w:ascii="Times New Roman" w:hAnsi="Times New Roman" w:cs="Times New Roman"/>
      <w:sz w:val="24"/>
      <w:szCs w:val="24"/>
    </w:rPr>
  </w:style>
  <w:style w:type="character" w:styleId="Strong">
    <w:name w:val="Strong"/>
    <w:basedOn w:val="DefaultParagraphFont"/>
    <w:uiPriority w:val="22"/>
    <w:qFormat/>
    <w:rsid w:val="005B1E6E"/>
    <w:rPr>
      <w:b/>
      <w:bCs/>
      <w:sz w:val="22"/>
    </w:rPr>
  </w:style>
  <w:style w:type="character" w:styleId="CommentReference">
    <w:name w:val="annotation reference"/>
    <w:basedOn w:val="DefaultParagraphFont"/>
    <w:uiPriority w:val="99"/>
    <w:semiHidden/>
    <w:unhideWhenUsed/>
    <w:rsid w:val="001637A7"/>
    <w:rPr>
      <w:sz w:val="18"/>
      <w:szCs w:val="18"/>
    </w:rPr>
  </w:style>
  <w:style w:type="paragraph" w:styleId="CommentText">
    <w:name w:val="annotation text"/>
    <w:basedOn w:val="Normal"/>
    <w:link w:val="CommentTextChar"/>
    <w:uiPriority w:val="99"/>
    <w:semiHidden/>
    <w:unhideWhenUsed/>
    <w:rsid w:val="001637A7"/>
    <w:pPr>
      <w:spacing w:line="240" w:lineRule="auto"/>
    </w:pPr>
    <w:rPr>
      <w:sz w:val="24"/>
      <w:szCs w:val="24"/>
    </w:rPr>
  </w:style>
  <w:style w:type="character" w:customStyle="1" w:styleId="CommentTextChar">
    <w:name w:val="Comment Text Char"/>
    <w:basedOn w:val="DefaultParagraphFont"/>
    <w:link w:val="CommentText"/>
    <w:uiPriority w:val="99"/>
    <w:semiHidden/>
    <w:rsid w:val="001637A7"/>
    <w:rPr>
      <w:sz w:val="24"/>
      <w:szCs w:val="24"/>
    </w:rPr>
  </w:style>
  <w:style w:type="paragraph" w:styleId="CommentSubject">
    <w:name w:val="annotation subject"/>
    <w:basedOn w:val="CommentText"/>
    <w:next w:val="CommentText"/>
    <w:link w:val="CommentSubjectChar"/>
    <w:uiPriority w:val="99"/>
    <w:semiHidden/>
    <w:unhideWhenUsed/>
    <w:rsid w:val="001637A7"/>
    <w:rPr>
      <w:b/>
      <w:bCs/>
      <w:sz w:val="20"/>
      <w:szCs w:val="20"/>
    </w:rPr>
  </w:style>
  <w:style w:type="character" w:customStyle="1" w:styleId="CommentSubjectChar">
    <w:name w:val="Comment Subject Char"/>
    <w:basedOn w:val="CommentTextChar"/>
    <w:link w:val="CommentSubject"/>
    <w:uiPriority w:val="99"/>
    <w:semiHidden/>
    <w:rsid w:val="001637A7"/>
    <w:rPr>
      <w:b/>
      <w:bCs/>
      <w:sz w:val="20"/>
      <w:szCs w:val="20"/>
    </w:rPr>
  </w:style>
  <w:style w:type="character" w:styleId="FollowedHyperlink">
    <w:name w:val="FollowedHyperlink"/>
    <w:basedOn w:val="DefaultParagraphFont"/>
    <w:uiPriority w:val="99"/>
    <w:semiHidden/>
    <w:unhideWhenUsed/>
    <w:rsid w:val="005808E9"/>
    <w:rPr>
      <w:color w:val="800080" w:themeColor="followedHyperlink"/>
      <w:u w:val="single"/>
    </w:rPr>
  </w:style>
  <w:style w:type="paragraph" w:styleId="BodyText3">
    <w:name w:val="Body Text 3"/>
    <w:basedOn w:val="Normal"/>
    <w:link w:val="BodyText3Char"/>
    <w:uiPriority w:val="99"/>
    <w:unhideWhenUsed/>
    <w:rsid w:val="00F97504"/>
    <w:pPr>
      <w:spacing w:after="120"/>
    </w:pPr>
    <w:rPr>
      <w:sz w:val="16"/>
      <w:szCs w:val="16"/>
    </w:rPr>
  </w:style>
  <w:style w:type="character" w:customStyle="1" w:styleId="BodyText3Char">
    <w:name w:val="Body Text 3 Char"/>
    <w:basedOn w:val="DefaultParagraphFont"/>
    <w:link w:val="BodyText3"/>
    <w:uiPriority w:val="99"/>
    <w:rsid w:val="00F97504"/>
    <w:rPr>
      <w:sz w:val="16"/>
      <w:szCs w:val="16"/>
    </w:rPr>
  </w:style>
  <w:style w:type="paragraph" w:styleId="FootnoteText">
    <w:name w:val="footnote text"/>
    <w:basedOn w:val="Normal"/>
    <w:link w:val="FootnoteTextChar"/>
    <w:uiPriority w:val="99"/>
    <w:unhideWhenUsed/>
    <w:rsid w:val="00041FF7"/>
    <w:pPr>
      <w:spacing w:after="0" w:line="240" w:lineRule="auto"/>
    </w:pPr>
    <w:rPr>
      <w:sz w:val="20"/>
      <w:szCs w:val="20"/>
    </w:rPr>
  </w:style>
  <w:style w:type="character" w:customStyle="1" w:styleId="FootnoteTextChar">
    <w:name w:val="Footnote Text Char"/>
    <w:basedOn w:val="DefaultParagraphFont"/>
    <w:link w:val="FootnoteText"/>
    <w:uiPriority w:val="99"/>
    <w:rsid w:val="00041FF7"/>
    <w:rPr>
      <w:sz w:val="20"/>
      <w:szCs w:val="20"/>
    </w:rPr>
  </w:style>
  <w:style w:type="character" w:styleId="FootnoteReference">
    <w:name w:val="footnote reference"/>
    <w:basedOn w:val="DefaultParagraphFont"/>
    <w:uiPriority w:val="99"/>
    <w:unhideWhenUsed/>
    <w:rsid w:val="00041FF7"/>
    <w:rPr>
      <w:vertAlign w:val="superscript"/>
    </w:rPr>
  </w:style>
  <w:style w:type="character" w:styleId="PageNumber">
    <w:name w:val="page number"/>
    <w:uiPriority w:val="99"/>
    <w:rsid w:val="00F7725D"/>
    <w:rPr>
      <w:rFonts w:cs="Times New Roman"/>
    </w:rPr>
  </w:style>
</w:styles>
</file>

<file path=word/webSettings.xml><?xml version="1.0" encoding="utf-8"?>
<w:webSettings xmlns:r="http://schemas.openxmlformats.org/officeDocument/2006/relationships" xmlns:w="http://schemas.openxmlformats.org/wordprocessingml/2006/main">
  <w:divs>
    <w:div w:id="99493751">
      <w:bodyDiv w:val="1"/>
      <w:marLeft w:val="0"/>
      <w:marRight w:val="0"/>
      <w:marTop w:val="0"/>
      <w:marBottom w:val="0"/>
      <w:divBdr>
        <w:top w:val="none" w:sz="0" w:space="0" w:color="auto"/>
        <w:left w:val="none" w:sz="0" w:space="0" w:color="auto"/>
        <w:bottom w:val="none" w:sz="0" w:space="0" w:color="auto"/>
        <w:right w:val="none" w:sz="0" w:space="0" w:color="auto"/>
      </w:divBdr>
    </w:div>
    <w:div w:id="311569351">
      <w:bodyDiv w:val="1"/>
      <w:marLeft w:val="0"/>
      <w:marRight w:val="0"/>
      <w:marTop w:val="0"/>
      <w:marBottom w:val="0"/>
      <w:divBdr>
        <w:top w:val="none" w:sz="0" w:space="0" w:color="auto"/>
        <w:left w:val="none" w:sz="0" w:space="0" w:color="auto"/>
        <w:bottom w:val="none" w:sz="0" w:space="0" w:color="auto"/>
        <w:right w:val="none" w:sz="0" w:space="0" w:color="auto"/>
      </w:divBdr>
      <w:divsChild>
        <w:div w:id="2080588852">
          <w:marLeft w:val="547"/>
          <w:marRight w:val="0"/>
          <w:marTop w:val="0"/>
          <w:marBottom w:val="0"/>
          <w:divBdr>
            <w:top w:val="none" w:sz="0" w:space="0" w:color="auto"/>
            <w:left w:val="none" w:sz="0" w:space="0" w:color="auto"/>
            <w:bottom w:val="none" w:sz="0" w:space="0" w:color="auto"/>
            <w:right w:val="none" w:sz="0" w:space="0" w:color="auto"/>
          </w:divBdr>
        </w:div>
        <w:div w:id="1412508022">
          <w:marLeft w:val="547"/>
          <w:marRight w:val="0"/>
          <w:marTop w:val="0"/>
          <w:marBottom w:val="0"/>
          <w:divBdr>
            <w:top w:val="none" w:sz="0" w:space="0" w:color="auto"/>
            <w:left w:val="none" w:sz="0" w:space="0" w:color="auto"/>
            <w:bottom w:val="none" w:sz="0" w:space="0" w:color="auto"/>
            <w:right w:val="none" w:sz="0" w:space="0" w:color="auto"/>
          </w:divBdr>
        </w:div>
        <w:div w:id="1139105539">
          <w:marLeft w:val="547"/>
          <w:marRight w:val="0"/>
          <w:marTop w:val="0"/>
          <w:marBottom w:val="0"/>
          <w:divBdr>
            <w:top w:val="none" w:sz="0" w:space="0" w:color="auto"/>
            <w:left w:val="none" w:sz="0" w:space="0" w:color="auto"/>
            <w:bottom w:val="none" w:sz="0" w:space="0" w:color="auto"/>
            <w:right w:val="none" w:sz="0" w:space="0" w:color="auto"/>
          </w:divBdr>
        </w:div>
        <w:div w:id="2147315850">
          <w:marLeft w:val="547"/>
          <w:marRight w:val="0"/>
          <w:marTop w:val="0"/>
          <w:marBottom w:val="0"/>
          <w:divBdr>
            <w:top w:val="none" w:sz="0" w:space="0" w:color="auto"/>
            <w:left w:val="none" w:sz="0" w:space="0" w:color="auto"/>
            <w:bottom w:val="none" w:sz="0" w:space="0" w:color="auto"/>
            <w:right w:val="none" w:sz="0" w:space="0" w:color="auto"/>
          </w:divBdr>
        </w:div>
        <w:div w:id="1297684447">
          <w:marLeft w:val="547"/>
          <w:marRight w:val="0"/>
          <w:marTop w:val="0"/>
          <w:marBottom w:val="0"/>
          <w:divBdr>
            <w:top w:val="none" w:sz="0" w:space="0" w:color="auto"/>
            <w:left w:val="none" w:sz="0" w:space="0" w:color="auto"/>
            <w:bottom w:val="none" w:sz="0" w:space="0" w:color="auto"/>
            <w:right w:val="none" w:sz="0" w:space="0" w:color="auto"/>
          </w:divBdr>
        </w:div>
        <w:div w:id="1507403869">
          <w:marLeft w:val="547"/>
          <w:marRight w:val="0"/>
          <w:marTop w:val="0"/>
          <w:marBottom w:val="0"/>
          <w:divBdr>
            <w:top w:val="none" w:sz="0" w:space="0" w:color="auto"/>
            <w:left w:val="none" w:sz="0" w:space="0" w:color="auto"/>
            <w:bottom w:val="none" w:sz="0" w:space="0" w:color="auto"/>
            <w:right w:val="none" w:sz="0" w:space="0" w:color="auto"/>
          </w:divBdr>
        </w:div>
      </w:divsChild>
    </w:div>
    <w:div w:id="392781117">
      <w:bodyDiv w:val="1"/>
      <w:marLeft w:val="0"/>
      <w:marRight w:val="0"/>
      <w:marTop w:val="0"/>
      <w:marBottom w:val="0"/>
      <w:divBdr>
        <w:top w:val="none" w:sz="0" w:space="0" w:color="auto"/>
        <w:left w:val="none" w:sz="0" w:space="0" w:color="auto"/>
        <w:bottom w:val="none" w:sz="0" w:space="0" w:color="auto"/>
        <w:right w:val="none" w:sz="0" w:space="0" w:color="auto"/>
      </w:divBdr>
      <w:divsChild>
        <w:div w:id="825588358">
          <w:marLeft w:val="0"/>
          <w:marRight w:val="0"/>
          <w:marTop w:val="0"/>
          <w:marBottom w:val="0"/>
          <w:divBdr>
            <w:top w:val="none" w:sz="0" w:space="0" w:color="auto"/>
            <w:left w:val="none" w:sz="0" w:space="0" w:color="auto"/>
            <w:bottom w:val="none" w:sz="0" w:space="0" w:color="auto"/>
            <w:right w:val="none" w:sz="0" w:space="0" w:color="auto"/>
          </w:divBdr>
          <w:divsChild>
            <w:div w:id="12809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6138">
      <w:bodyDiv w:val="1"/>
      <w:marLeft w:val="0"/>
      <w:marRight w:val="0"/>
      <w:marTop w:val="0"/>
      <w:marBottom w:val="0"/>
      <w:divBdr>
        <w:top w:val="none" w:sz="0" w:space="0" w:color="auto"/>
        <w:left w:val="none" w:sz="0" w:space="0" w:color="auto"/>
        <w:bottom w:val="none" w:sz="0" w:space="0" w:color="auto"/>
        <w:right w:val="none" w:sz="0" w:space="0" w:color="auto"/>
      </w:divBdr>
    </w:div>
    <w:div w:id="1162543523">
      <w:bodyDiv w:val="1"/>
      <w:marLeft w:val="0"/>
      <w:marRight w:val="0"/>
      <w:marTop w:val="0"/>
      <w:marBottom w:val="0"/>
      <w:divBdr>
        <w:top w:val="none" w:sz="0" w:space="0" w:color="auto"/>
        <w:left w:val="none" w:sz="0" w:space="0" w:color="auto"/>
        <w:bottom w:val="none" w:sz="0" w:space="0" w:color="auto"/>
        <w:right w:val="none" w:sz="0" w:space="0" w:color="auto"/>
      </w:divBdr>
    </w:div>
    <w:div w:id="157890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441C-FCFA-DB4C-98C2-409E2A34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2713</Words>
  <Characters>15465</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Roache Roache</dc:creator>
  <cp:lastModifiedBy>Desktop Services</cp:lastModifiedBy>
  <cp:revision>2</cp:revision>
  <cp:lastPrinted>2014-12-07T22:17:00Z</cp:lastPrinted>
  <dcterms:created xsi:type="dcterms:W3CDTF">2014-12-07T22:17:00Z</dcterms:created>
  <dcterms:modified xsi:type="dcterms:W3CDTF">2014-12-07T22:17:00Z</dcterms:modified>
</cp:coreProperties>
</file>